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70184" w:rsidTr="00570184">
        <w:tc>
          <w:tcPr>
            <w:tcW w:w="7694" w:type="dxa"/>
          </w:tcPr>
          <w:p w:rsidR="00570184" w:rsidRPr="00570184" w:rsidRDefault="00570184" w:rsidP="005701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bookmarkStart w:id="0" w:name="_GoBack"/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Eight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items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major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concern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regarding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proposed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WHO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and International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Health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Regulations</w:t>
            </w:r>
            <w:bookmarkEnd w:id="0"/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(IHR)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(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translation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purpose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only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 )</w:t>
            </w: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</w:t>
            </w:r>
            <w:hyperlink r:id="rId5" w:history="1">
              <w:r w:rsidRPr="0057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Jutta</w:t>
              </w:r>
              <w:proofErr w:type="spellEnd"/>
              <w:r w:rsidRPr="0057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Degner</w:t>
              </w:r>
            </w:hyperlink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20, 2023 </w:t>
            </w:r>
          </w:p>
          <w:p w:rsidR="00570184" w:rsidRPr="00570184" w:rsidRDefault="00570184" w:rsidP="005701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Symbol" w:cs="Times New Roman"/>
                <w:sz w:val="24"/>
                <w:szCs w:val="24"/>
                <w:lang w:eastAsia="cs-CZ"/>
              </w:rPr>
              <w:t>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Symbol" w:cs="Times New Roman"/>
                <w:sz w:val="24"/>
                <w:szCs w:val="24"/>
                <w:lang w:eastAsia="cs-CZ"/>
              </w:rPr>
              <w:t>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Symbol" w:cs="Times New Roman"/>
                <w:sz w:val="24"/>
                <w:szCs w:val="24"/>
                <w:lang w:eastAsia="cs-CZ"/>
              </w:rPr>
              <w:t>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Symbol" w:cs="Times New Roman"/>
                <w:sz w:val="24"/>
                <w:szCs w:val="24"/>
                <w:lang w:eastAsia="cs-CZ"/>
              </w:rPr>
              <w:t>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  <w:p w:rsidR="00570184" w:rsidRPr="00570184" w:rsidRDefault="00570184" w:rsidP="005701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57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More </w:t>
              </w:r>
            </w:hyperlink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1.  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Biological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warfare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agent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proliferation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proposed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instruct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nations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surveillance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potential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pandemic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pathogens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build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maintain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sequencing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both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share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actual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specimens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WHO (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where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BioHub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has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created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purpose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also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share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sequences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online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demands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proliferation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biological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weapons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agents</w:t>
            </w:r>
            <w:proofErr w:type="spellEnd"/>
            <w:proofErr w:type="gram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—</w:t>
            </w:r>
            <w:proofErr w:type="spellStart"/>
            <w:proofErr w:type="gram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which</w:t>
            </w:r>
            <w:proofErr w:type="spellEnd"/>
            <w:proofErr w:type="gram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believe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crime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 my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interpretation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Council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1540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1972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Biological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Weapons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Convention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1 a.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June 2, 2023 “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Bureau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text”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also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nations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Gain-of-Function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research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reduce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“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impediments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”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 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other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words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restrictions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research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should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relaxed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which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would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make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leaks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more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likely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occur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paragraph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removed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October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30, 2023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2.  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Giving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WHO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blank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check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create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new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rules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future</w:t>
            </w:r>
            <w:proofErr w:type="spellEnd"/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Conference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Parties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WHO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Secretariat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created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future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make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rules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pandemic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response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apparatus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</w:t>
            </w:r>
            <w:proofErr w:type="spellEnd"/>
            <w:proofErr w:type="gram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—</w:t>
            </w:r>
            <w:proofErr w:type="spellStart"/>
            <w:proofErr w:type="gram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which</w:t>
            </w:r>
            <w:proofErr w:type="spellEnd"/>
            <w:proofErr w:type="gram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provides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essentially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blank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contract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WHO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create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whatever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rules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3.  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Liability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-free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vaccines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developed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at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warp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speed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produced</w:t>
            </w:r>
            <w:proofErr w:type="spellEnd"/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rapid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vaccine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development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production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shaving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aspects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vaccine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development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manufacture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requires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vaccines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without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licenses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nations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place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issue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Emergency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Use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Authorizations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purpose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and to “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manage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”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liability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issues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“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"https://doortofreedom.org/2023/09/03/the-whos-proposed-treaty-will-increase-man-made-pandemics/" </w:instrTex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WHO’s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Proposed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Increase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Man-Made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Pandemics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”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more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about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US, EU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others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specifically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100-day</w:t>
            </w:r>
            <w:proofErr w:type="gram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vaccine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development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additional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days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production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pandemic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vaccines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would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allow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meaningful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4.  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Human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rights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guarantees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have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been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removed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new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amendments</w:t>
            </w:r>
            <w:proofErr w:type="spellEnd"/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removed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“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rights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dignity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freedom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persons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”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existing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IHR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language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 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Following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complaints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phrase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inserted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into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proofErr w:type="gram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proofErr w:type="gram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but</w:t>
            </w:r>
            <w:proofErr w:type="gram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not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accepted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2024.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Meanwhile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require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only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majority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are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written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secret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so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likely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most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problematic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issues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found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lastRenderedPageBreak/>
              <w:t xml:space="preserve">5. 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Social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media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surveillance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censorship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citizens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required</w:t>
            </w:r>
            <w:proofErr w:type="spellEnd"/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Both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call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surveillance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their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citizens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’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media, and to censor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spread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not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conform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WHO’s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public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health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narratives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also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citizens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free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access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while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are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protected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“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infodemics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,”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which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defined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too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much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Citizens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also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stopped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spreading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mis-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disinformation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6. 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We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may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not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learn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what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until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after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they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are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passed</w:t>
            </w:r>
            <w:proofErr w:type="spellEnd"/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negotiated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entirely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secret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past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nine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months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while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consecutive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drafts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pandemic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released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public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 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while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negotiated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tabled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public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review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WHO’s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principal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officer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has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provided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avoid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obligation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public 4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months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ahead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vote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public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even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before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vote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occurs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such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secrecy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regarding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proposed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7. 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WHO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Director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-General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could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become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your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personal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physician</w:t>
            </w:r>
            <w:proofErr w:type="spellEnd"/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According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proposed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WHO D-G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would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able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commandeer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supplies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country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another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decide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restrict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use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other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lastRenderedPageBreak/>
              <w:t xml:space="preserve">8. 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When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WHO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able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to use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its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newly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minted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powers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?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amendments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into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force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after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declaration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Public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Health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Emergency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Concern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(PHEIC)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made.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However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declaration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potential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PHEIC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also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trigger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these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 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extended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even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after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PHEIC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over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as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seen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COVID and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monkeypox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(MPOX)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declarations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D-G. 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force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continuously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requiring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declaration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pandemic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confer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WHO.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Meryl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Nass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MD</w:t>
            </w:r>
          </w:p>
        </w:tc>
        <w:tc>
          <w:tcPr>
            <w:tcW w:w="7694" w:type="dxa"/>
          </w:tcPr>
          <w:p w:rsidR="00570184" w:rsidRPr="00570184" w:rsidRDefault="00570184" w:rsidP="005701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lastRenderedPageBreak/>
              <w:t>Osm bodů, které vzbuzují největší obavy v souvislosti s navrhovanými změnami smlouvy WHO a Mezinárodních zdravotnických předpisů (pouze pro účely překladu)</w:t>
            </w: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</w:t>
            </w:r>
            <w:hyperlink r:id="rId7" w:history="1">
              <w:r w:rsidRPr="0057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Jiri</w:t>
              </w:r>
              <w:proofErr w:type="spellEnd"/>
              <w:r w:rsidRPr="0057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Sanek</w:t>
              </w:r>
            </w:hyperlink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 listopadu, 2023 </w:t>
            </w:r>
          </w:p>
          <w:p w:rsidR="00570184" w:rsidRPr="00570184" w:rsidRDefault="00570184" w:rsidP="005701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Symbol" w:cs="Times New Roman"/>
                <w:sz w:val="24"/>
                <w:szCs w:val="24"/>
                <w:lang w:eastAsia="cs-CZ"/>
              </w:rPr>
              <w:t>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Symbol" w:cs="Times New Roman"/>
                <w:sz w:val="24"/>
                <w:szCs w:val="24"/>
                <w:lang w:eastAsia="cs-CZ"/>
              </w:rPr>
              <w:t>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Symbol" w:cs="Times New Roman"/>
                <w:sz w:val="24"/>
                <w:szCs w:val="24"/>
                <w:lang w:eastAsia="cs-CZ"/>
              </w:rPr>
              <w:t>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  <w:p w:rsidR="00570184" w:rsidRPr="00570184" w:rsidRDefault="00570184" w:rsidP="0057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Symbol" w:cs="Times New Roman"/>
                <w:sz w:val="24"/>
                <w:szCs w:val="24"/>
                <w:lang w:eastAsia="cs-CZ"/>
              </w:rPr>
              <w:t>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  <w:p w:rsidR="00570184" w:rsidRPr="00570184" w:rsidRDefault="00570184" w:rsidP="0057018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57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More </w:t>
              </w:r>
            </w:hyperlink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1. Šíření biologických bojových látek.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Smlouva a navrhované dodatky nařizují státům, že musí provádět </w:t>
            </w:r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dohled nad potenciálními pandemickými patogeny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vybudovat nebo udržovat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sekvenační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laboratoře a </w:t>
            </w:r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sdílet skutečné vzorky se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Světovou zdravotnickou organizací (kde byl za tímto účelem vytvořen tzv.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BioHub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a také </w:t>
            </w:r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sdílet sekvence online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To vyžaduje </w:t>
            </w:r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šíření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původců </w:t>
            </w:r>
            <w:r w:rsidRPr="0057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biologických zbraní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což je podle mého názoru zločin (na základě mého výkladu rezoluce Rady bezpečnosti č. 1540 a Úmluvy o zákazu biologických zbraní z roku 1972).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a. Verze „úředního textu (angl.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Bureau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text)“ smlouvy z 2. června 2023 rovněž vyzývá státy provádějící výzkum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Gain-of-Function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aby v tomto díle omezily „administrativní překážky“. Jinými slovy, omezení výzkumu by 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měla být zmírněna, což by zvýšilo pravděpodobnost úniku látek z laboratoří. Tento odstavec byl z verze smlouvy z 30. října 2023 odstraněn.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2. Poskytnutí bianko šeků Světové zdravotnické organizaci, aby vytvořila nová pravidla v budoucnosti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Smlouva vyzývá k tomu, aby byla v </w:t>
            </w:r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budoucnu vytvořena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konference smluvních stran a nový sekretariát WHO, který bude vytvářet pravidla pro fungování aparátu pro prevenci a reakci na pandemie – což organizaci WHO poskytuje v podstatě prázdnou, podepsanou smlouvu, aby si vytvořila pravidla, jaká chce.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3. Budou se vyvíjet vakcíny bez odpovědnosti, které se budou vyrábět zrychleně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Smlouva vyzývá k rychlému vývoji/výrobě vakcín a ke zkrácení času ohledně všech aspektů vývoje, testování a výroby vakcín. To vyžaduje, aby se vakcíny používaly bez licencí, a smlouva požaduje, aby státy měly k tomuto účelu zavedeny zákony pro vydávání povolení k nouzovému použití (EUA) a pro „zvládání“ otázek ohledně odpovědnosti. Více informací o této problematice naleznete v článku „</w:t>
            </w:r>
            <w:hyperlink r:id="rId9" w:history="1">
              <w:r w:rsidRPr="0057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Navrhovaná smlouva WHO zvýší počet pandemií způsobených člověkem</w:t>
              </w:r>
            </w:hyperlink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“. USA, EU a další země výslovně vyzvaly </w:t>
            </w:r>
            <w:proofErr w:type="gram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</w:t>
            </w:r>
            <w:proofErr w:type="gram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100dennímu vývoji vakcín a k dalším 30 dnům na výrobu pandemických vakcín. Tohle by neumožnilo žádné užitečné testování na lidech.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4. Záruky lidských práv byly v nových pozměňovacích návrzích odstraněny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Změny odstranily ze stávajícího znění IHR „lidská práva, důstojnost a svobodu osob“. Na základě stížností byla tato věta později do smlouvy vložena – smlouva však nemusí být v roce 2024 přijata. Mezitím jsou změny, které vyžadují ke schválení pouze prostou většinu, psány v tajnosti a tak je 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pravděpodobné, že nejproblematičtější otázky se budou nacházet právě v pozměňovacích návrzích.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5. Je vyžadován dohled nad sociálními médii a cenzura občanů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Pozměňovací návrhy i smlouva vyzývají národní státy, aby prováděly dohled nad sociálními médii svých občanů a cenzurovaly a bránily šíření informací, které nejsou v souladu s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narativy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WHO o veřejném zdraví. Smlouva však také požaduje, aby občané měli svobodný přístup k informacím, přičemž mají být chráněni před „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infodemiemi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“, které jsou definovány jako příliš mnoho informací. Občanům je také třeba zabránit v šíření mis-informací a dezinformací. 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6. Co všechno je v dodatcích obsaženo se možná nedozvíme, až teprve poté co budou přijaty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dodatcích se v uplynulých devíti měsících jednalo zcela v tajnosti, přičemž během této doby bylo na veřejnost uvolněno několik po sobě jdoucích návrhů pandemické smlouvy. A přestože vyjednané pozměňovací návrhy měly být předloženy k veřejnému posouzení v lednu, hlavní právník WHO poskytl právní „fíkový list“, aby se vyhnul povinnosti zveřejnit je čtyři měsíce před hlasováním. Uvidí vůbec veřejnost pozměňovací návrhy dříve, než o nich bude hlasováno?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Proč jsou navrhované změny tak tajné?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7. Generální ředitel WHO by se mohl stát vaším osobním lékařem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Podle navrhovaných změn by generální ředitel WHO mohl zabavovat a přesouvat zdravotnický materiál z jedné země do druhé, rozhodovat o tom, 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jaké léčebné postupy lze používat, a omezovat používání jiných léčebných postupů.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8. Kdy bude moci WHO využít své nově nabyté pravomoci?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Změny vstoupí v platnost poté, co bude vyhlášen stav ohrožení veřejného zdraví mezinárodního významu (PHEIC). Avšak vyhlášení neboli deklarace </w:t>
            </w:r>
            <w:r w:rsidRPr="00570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potenciálního PHEIC</w:t>
            </w: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spustí tyto pravomoci rovněž. Pravomoci mohou být rozšířeny (prodlouženy) i po skončení PHEIC, jak jsme viděli v případě vyhlášení COVID a opičích neštovic (MPOX) generálním ředitelstvím. 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Smlouva bude platit nepřetržitě a nebude vyžadovat žádné vyhlášení nebo žádnou pandemii pro to, aby WHO získala nové pravomoci.</w:t>
            </w:r>
          </w:p>
          <w:p w:rsidR="00570184" w:rsidRPr="00570184" w:rsidRDefault="00570184" w:rsidP="005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Meryl</w:t>
            </w:r>
            <w:proofErr w:type="spellEnd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01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Nassová</w:t>
            </w:r>
            <w:proofErr w:type="spellEnd"/>
          </w:p>
          <w:p w:rsidR="00570184" w:rsidRDefault="00570184"/>
        </w:tc>
      </w:tr>
      <w:tr w:rsidR="00570184" w:rsidTr="00570184">
        <w:tc>
          <w:tcPr>
            <w:tcW w:w="7694" w:type="dxa"/>
          </w:tcPr>
          <w:p w:rsidR="00570184" w:rsidRDefault="00570184"/>
        </w:tc>
        <w:tc>
          <w:tcPr>
            <w:tcW w:w="7694" w:type="dxa"/>
          </w:tcPr>
          <w:p w:rsidR="00570184" w:rsidRDefault="00570184"/>
        </w:tc>
      </w:tr>
    </w:tbl>
    <w:p w:rsidR="00545606" w:rsidRDefault="00545606"/>
    <w:sectPr w:rsidR="00545606" w:rsidSect="00570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240A"/>
    <w:multiLevelType w:val="multilevel"/>
    <w:tmpl w:val="9FA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56FCF"/>
    <w:multiLevelType w:val="multilevel"/>
    <w:tmpl w:val="5B8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36033"/>
    <w:multiLevelType w:val="multilevel"/>
    <w:tmpl w:val="9B52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82C89"/>
    <w:multiLevelType w:val="multilevel"/>
    <w:tmpl w:val="649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84"/>
    <w:rsid w:val="00545606"/>
    <w:rsid w:val="005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7445-69A2-4A62-870B-AB0341DE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701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01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eta-label">
    <w:name w:val="meta-label"/>
    <w:basedOn w:val="Standardnpsmoodstavce"/>
    <w:rsid w:val="00570184"/>
  </w:style>
  <w:style w:type="character" w:customStyle="1" w:styleId="author">
    <w:name w:val="author"/>
    <w:basedOn w:val="Standardnpsmoodstavce"/>
    <w:rsid w:val="00570184"/>
  </w:style>
  <w:style w:type="character" w:styleId="Hypertextovodkaz">
    <w:name w:val="Hyperlink"/>
    <w:basedOn w:val="Standardnpsmoodstavce"/>
    <w:uiPriority w:val="99"/>
    <w:semiHidden/>
    <w:unhideWhenUsed/>
    <w:rsid w:val="00570184"/>
    <w:rPr>
      <w:color w:val="0000FF"/>
      <w:u w:val="single"/>
    </w:rPr>
  </w:style>
  <w:style w:type="character" w:customStyle="1" w:styleId="posted-on">
    <w:name w:val="posted-on"/>
    <w:basedOn w:val="Standardnpsmoodstavce"/>
    <w:rsid w:val="00570184"/>
  </w:style>
  <w:style w:type="character" w:customStyle="1" w:styleId="ss-reveal-label-wrap">
    <w:name w:val="ss-reveal-label-wrap"/>
    <w:basedOn w:val="Standardnpsmoodstavce"/>
    <w:rsid w:val="00570184"/>
  </w:style>
  <w:style w:type="character" w:customStyle="1" w:styleId="ss-network-label">
    <w:name w:val="ss-network-label"/>
    <w:basedOn w:val="Standardnpsmoodstavce"/>
    <w:rsid w:val="00570184"/>
  </w:style>
  <w:style w:type="paragraph" w:styleId="Normlnweb">
    <w:name w:val="Normal (Web)"/>
    <w:basedOn w:val="Normln"/>
    <w:uiPriority w:val="99"/>
    <w:semiHidden/>
    <w:unhideWhenUsed/>
    <w:rsid w:val="0057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0184"/>
    <w:rPr>
      <w:b/>
      <w:bCs/>
    </w:rPr>
  </w:style>
  <w:style w:type="character" w:styleId="Zdraznn">
    <w:name w:val="Emphasis"/>
    <w:basedOn w:val="Standardnpsmoodstavce"/>
    <w:uiPriority w:val="20"/>
    <w:qFormat/>
    <w:rsid w:val="0057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healthdefense.eu/?p=49895&amp;preview=true&amp;preview_id=498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renshealthdefense.eu/cs/author/ji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renshealthdefense.eu/?p=49322&amp;preview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ildrenshealthdefense.eu/author/jutta_degn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ortofreedom.org/2023/09/03/the-whos-proposed-treaty-will-increase-man-made-pandemic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Sanek</dc:creator>
  <cp:keywords/>
  <dc:description/>
  <cp:lastModifiedBy>Jiri Sanek</cp:lastModifiedBy>
  <cp:revision>1</cp:revision>
  <dcterms:created xsi:type="dcterms:W3CDTF">2023-11-20T08:27:00Z</dcterms:created>
  <dcterms:modified xsi:type="dcterms:W3CDTF">2023-11-20T08:33:00Z</dcterms:modified>
</cp:coreProperties>
</file>