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37FE" w14:textId="4D245475" w:rsidR="00310FA5" w:rsidRDefault="007E4C1E" w:rsidP="007E4C1E">
      <w:pPr>
        <w:pStyle w:val="StandardWeb"/>
        <w:jc w:val="center"/>
        <w:rPr>
          <w:b/>
          <w:bCs/>
          <w:sz w:val="44"/>
          <w:szCs w:val="44"/>
        </w:rPr>
      </w:pPr>
      <w:r w:rsidRPr="007E4C1E">
        <w:rPr>
          <w:b/>
          <w:bCs/>
          <w:sz w:val="44"/>
          <w:szCs w:val="44"/>
        </w:rPr>
        <w:t>Pandemievorsorge unter die Lupe genommen</w:t>
      </w:r>
    </w:p>
    <w:p w14:paraId="23617E3B" w14:textId="7719AF72" w:rsidR="007E4C1E" w:rsidRDefault="007E4C1E" w:rsidP="007E4C1E">
      <w:pPr>
        <w:pStyle w:val="StandardWeb"/>
        <w:jc w:val="center"/>
      </w:pPr>
      <w:r w:rsidRPr="007E4C1E">
        <w:t>Meryl Nass, MD</w:t>
      </w:r>
    </w:p>
    <w:p w14:paraId="4CA4C6E0" w14:textId="77777777" w:rsidR="007E4C1E" w:rsidRDefault="007E4C1E" w:rsidP="007E4C1E">
      <w:pPr>
        <w:pStyle w:val="StandardWeb"/>
        <w:jc w:val="center"/>
      </w:pPr>
    </w:p>
    <w:p w14:paraId="031384FE" w14:textId="77777777" w:rsidR="000B21F6" w:rsidRPr="000B21F6" w:rsidRDefault="000B21F6" w:rsidP="000B21F6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0B21F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1. So wie es derzeit geplant ist, ist die Pandemievorbereitung ein Betrug/ein Schwindel/ein Trojanisches Pferd, das dazu dient:</w:t>
      </w:r>
    </w:p>
    <w:p w14:paraId="1EE1C2FE" w14:textId="77777777" w:rsidR="000B21F6" w:rsidRPr="000B21F6" w:rsidRDefault="000B21F6" w:rsidP="000B21F6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0B21F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dutzende oder hunderte von Milliarden Dollar an Steuergeldern an bevorzugte Industrien, Nationen und die WHO zu transferieren,</w:t>
      </w:r>
    </w:p>
    <w:p w14:paraId="56023F06" w14:textId="77777777" w:rsidR="000B21F6" w:rsidRPr="000B21F6" w:rsidRDefault="000B21F6" w:rsidP="000B21F6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0B21F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Zensur und Propaganda im Namen der öffentlichen Gesundheit zu rechtfertigen,</w:t>
      </w:r>
    </w:p>
    <w:p w14:paraId="2F38B53A" w14:textId="77777777" w:rsidR="000B21F6" w:rsidRPr="000B21F6" w:rsidRDefault="000B21F6" w:rsidP="000B21F6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0B21F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die Souveränität und Entscheidungsgewalt über die öffentliche Gesundheit auf die WHO-Generaldirektion zu übertragen,</w:t>
      </w:r>
    </w:p>
    <w:p w14:paraId="2D8D4910" w14:textId="77777777" w:rsidR="000B21F6" w:rsidRPr="000B21F6" w:rsidRDefault="000B21F6" w:rsidP="000B21F6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proofErr w:type="gramStart"/>
      <w:r w:rsidRPr="000B21F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das</w:t>
      </w:r>
      <w:proofErr w:type="gramEnd"/>
      <w:r w:rsidRPr="000B21F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"</w:t>
      </w:r>
      <w:proofErr w:type="spellStart"/>
      <w:r w:rsidRPr="000B21F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One</w:t>
      </w:r>
      <w:proofErr w:type="spellEnd"/>
      <w:r w:rsidRPr="000B21F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Health"-Konzept zu nutzen, um Menschen, Tiere, Pflanzen und Ökosysteme, einschließlich des Klimawandels, in den "</w:t>
      </w:r>
      <w:proofErr w:type="spellStart"/>
      <w:r w:rsidRPr="000B21F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One</w:t>
      </w:r>
      <w:proofErr w:type="spellEnd"/>
      <w:r w:rsidRPr="000B21F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Health"-Korb unter der Vorherrschaft der WHO zu packen,</w:t>
      </w:r>
    </w:p>
    <w:p w14:paraId="2038C03C" w14:textId="77777777" w:rsidR="000B21F6" w:rsidRPr="000B21F6" w:rsidRDefault="000B21F6" w:rsidP="000B21F6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0B21F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mehr potenzielle Pandemieerreger (Biokampfstoffe) zu beschaffen und weit zu verbreiten, was die Wahrscheinlichkeit von Pandemien erhöht und es unmöglich macht zu wissen, woher sie kommen,</w:t>
      </w:r>
    </w:p>
    <w:p w14:paraId="3C3373F8" w14:textId="77777777" w:rsidR="000B21F6" w:rsidRPr="000B21F6" w:rsidRDefault="000B21F6" w:rsidP="000B21F6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0B21F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möglicherweise die Zahl der Pandemien zu erhöhen, wodurch mehr Impfstoffe, Impfpässe und digitale Währungen, sowie eine stärkere Kontrolle über die Bevölkerung gerechtfertigt werden können,</w:t>
      </w:r>
    </w:p>
    <w:p w14:paraId="1CF4D773" w14:textId="77777777" w:rsidR="000B21F6" w:rsidRPr="000B21F6" w:rsidRDefault="000B21F6" w:rsidP="000B21F6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0B21F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die Einführung schnell hergestellter, schlecht getesteter und haftungsfreier Impfstoffe zu rechtfertigen und möglicherweise nicht zugelassene Impfstoffe vorzuschreiben, wie es während der COVID-Pandemie geschehen ist,</w:t>
      </w:r>
    </w:p>
    <w:p w14:paraId="77FA0EE5" w14:textId="77777777" w:rsidR="000B21F6" w:rsidRPr="000B21F6" w:rsidRDefault="000B21F6" w:rsidP="000B21F6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0B21F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ein Impfstoffprogramm, trotz insgesamt negativer Wirksamkeit und schwerwiegender medizinischer Nebenwirkungen, fortzusetzen.</w:t>
      </w:r>
    </w:p>
    <w:p w14:paraId="4F1A6944" w14:textId="77777777" w:rsidR="000B21F6" w:rsidRPr="000B21F6" w:rsidRDefault="000B21F6" w:rsidP="000B21F6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0B21F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2. Wir haben es versäumt, biologische Kriegsführung/Pandemien zu verhindern, zu erkennen oder darauf vorbereitet zu sein:</w:t>
      </w:r>
    </w:p>
    <w:p w14:paraId="43453C21" w14:textId="77777777" w:rsidR="000B21F6" w:rsidRPr="000B21F6" w:rsidRDefault="000B21F6" w:rsidP="000B21F6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0B21F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Die milliardenschweren Luftprobenentnahmeprogramme, die die Bundesregierung nach dem 11. September in Großstädten eingeführt hat, haben sich nicht bewährt.</w:t>
      </w:r>
    </w:p>
    <w:p w14:paraId="5220A371" w14:textId="77777777" w:rsidR="000B21F6" w:rsidRPr="000B21F6" w:rsidRDefault="000B21F6" w:rsidP="000B21F6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0B21F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Die verfügbaren Tests sind entweder zu empfindlich oder zu unempfindlich, um eine absichtliche Freisetzung von Mikroorganismen zu erkennen.</w:t>
      </w:r>
    </w:p>
    <w:p w14:paraId="492AFDA4" w14:textId="77777777" w:rsidR="000B21F6" w:rsidRPr="000B21F6" w:rsidRDefault="000B21F6" w:rsidP="000B21F6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0B21F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Der Kauf von Material zur biologischen Verteidigung erfolgte häufig bei gut vernetzten Unternehmen, um Produkte zu erhalten, die nicht verwendet wurden und später abliefen, wie Anthrax- und Pockenimpfstoffe und -medikamente.</w:t>
      </w:r>
    </w:p>
    <w:p w14:paraId="11516362" w14:textId="77777777" w:rsidR="000B21F6" w:rsidRPr="000B21F6" w:rsidRDefault="000B21F6" w:rsidP="000B21F6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0B21F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Nach dem kleinen Ebola-Ausbruch in den USA im Jahr 2014 wurden die Bestände an Masken, Handschuhen und Schutzkitteln nicht wieder aufgefüllt und waren für COVID generell nicht verfügbar.</w:t>
      </w:r>
    </w:p>
    <w:p w14:paraId="7A5E622B" w14:textId="77777777" w:rsidR="000B21F6" w:rsidRPr="000B21F6" w:rsidRDefault="000B21F6" w:rsidP="000B21F6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0B21F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Das Personal wurde nicht in der ordnungsgemäßen Verwendung von PSA geschult, da die CDC-Richtlinien aufgrund von Engpässen so angepasst wurden, dass eine Wiederverwendung möglich ist, obwohl die Filterwirkung nachlässt und das Kontaminationsrisiko bei längerer oder wiederholter Verwendung steigt.</w:t>
      </w:r>
    </w:p>
    <w:p w14:paraId="11E8F4F9" w14:textId="77777777" w:rsidR="000B21F6" w:rsidRPr="000B21F6" w:rsidRDefault="000B21F6" w:rsidP="000B21F6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0B21F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Mit jährlich 200 Unfällen mit potenziellen Pandemieerregern (PPPs oder "</w:t>
      </w:r>
      <w:proofErr w:type="spellStart"/>
      <w:r w:rsidRPr="000B21F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select</w:t>
      </w:r>
      <w:proofErr w:type="spellEnd"/>
      <w:r w:rsidRPr="000B21F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0B21F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agents</w:t>
      </w:r>
      <w:proofErr w:type="spellEnd"/>
      <w:r w:rsidRPr="000B21F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"), die dem Select Agent </w:t>
      </w:r>
      <w:proofErr w:type="spellStart"/>
      <w:r w:rsidRPr="000B21F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Program</w:t>
      </w:r>
      <w:proofErr w:type="spellEnd"/>
      <w:r w:rsidRPr="000B21F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der CDC gemeldet werden, haben die USA bewiesen, dass selbst mit den besten Labors der Biosicherheitsstufen 3 und 4 und der </w:t>
      </w:r>
      <w:r w:rsidRPr="000B21F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lastRenderedPageBreak/>
        <w:t xml:space="preserve">besten Ausbildung, die </w:t>
      </w:r>
      <w:r w:rsidRPr="000B21F6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Forschung mit PPPs nicht sicher durchgeführt werden kann.</w:t>
      </w:r>
    </w:p>
    <w:p w14:paraId="310AB6EB" w14:textId="77777777" w:rsidR="000B21F6" w:rsidRPr="000B21F6" w:rsidRDefault="000B21F6" w:rsidP="000B21F6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0B21F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Bislang ist es niemandem gelungen, alle menschlichen und mechanischen Fehler zu umgehen.</w:t>
      </w:r>
    </w:p>
    <w:p w14:paraId="031833A3" w14:textId="77777777" w:rsidR="000B21F6" w:rsidRPr="000B21F6" w:rsidRDefault="000B21F6" w:rsidP="000B21F6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0B21F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Wir können nicht zu 100 % verhindern, dass infizierte Versuchstiere Forscher und Tierpfleger beißen</w:t>
      </w:r>
    </w:p>
    <w:p w14:paraId="528194A8" w14:textId="77777777" w:rsidR="000B21F6" w:rsidRPr="000B21F6" w:rsidRDefault="000B21F6" w:rsidP="000B21F6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0B21F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3. Wie würden Pandemieprävention, -vorsorge und -bekämpfung wirklich aussehen, wenn es der WHO mit diesem Thema ernst wäre?</w:t>
      </w:r>
    </w:p>
    <w:p w14:paraId="5030E3D3" w14:textId="77777777" w:rsidR="000B21F6" w:rsidRPr="000B21F6" w:rsidRDefault="000B21F6" w:rsidP="000B21F6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0B21F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Es gäbe eine strenge Überwachung und Beschränkung der PPPs-Forschung, um sicherzustellen, dass sie nur friedlichen Zwecken dient, wie der Entwicklung von Impfstoffen oder Medikamenten.</w:t>
      </w:r>
    </w:p>
    <w:p w14:paraId="7EA0EA9E" w14:textId="77777777" w:rsidR="000B21F6" w:rsidRPr="000B21F6" w:rsidRDefault="000B21F6" w:rsidP="000B21F6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0B21F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Die Suche nach neuen PPPs würde beschränkt und nicht durch den Pandemievertrag gefördert werden.</w:t>
      </w:r>
    </w:p>
    <w:p w14:paraId="7E55AED9" w14:textId="77777777" w:rsidR="000B21F6" w:rsidRPr="000B21F6" w:rsidRDefault="000B21F6" w:rsidP="000B21F6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0B21F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Die Weitergabe von PPPs würde in Übereinstimmung mit der Resolution 1540 des Sicherheitsrates und den US-Vorschriften über selektive Wirkstoffe streng geregelt.</w:t>
      </w:r>
    </w:p>
    <w:p w14:paraId="3821B9FC" w14:textId="77777777" w:rsidR="000B21F6" w:rsidRPr="000B21F6" w:rsidRDefault="000B21F6" w:rsidP="000B21F6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0B21F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Die </w:t>
      </w:r>
      <w:proofErr w:type="spellStart"/>
      <w:r w:rsidRPr="000B21F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Gain-of-Function</w:t>
      </w:r>
      <w:proofErr w:type="spellEnd"/>
      <w:r w:rsidRPr="000B21F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Recherche wäre streng verboten.</w:t>
      </w:r>
    </w:p>
    <w:p w14:paraId="00E8DBD5" w14:textId="77777777" w:rsidR="000B21F6" w:rsidRPr="000B21F6" w:rsidRDefault="000B21F6" w:rsidP="000B21F6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0B21F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Der frühere CDC-Direktor Redfield sagte dem Kongress, dass seines Wissens kein Medikament, Impfstoff oder Therapeutikum durch Biowaffen-Forschung (</w:t>
      </w:r>
      <w:proofErr w:type="spellStart"/>
      <w:r w:rsidRPr="000B21F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Gain</w:t>
      </w:r>
      <w:proofErr w:type="spellEnd"/>
      <w:r w:rsidRPr="000B21F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0B21F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of</w:t>
      </w:r>
      <w:proofErr w:type="spellEnd"/>
      <w:r w:rsidRPr="000B21F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0B21F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Function</w:t>
      </w:r>
      <w:proofErr w:type="spellEnd"/>
      <w:r w:rsidRPr="000B21F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) entwickelt worden sei. GOF sollte abgeschafft werden.</w:t>
      </w:r>
    </w:p>
    <w:p w14:paraId="00462159" w14:textId="77777777" w:rsidR="000B21F6" w:rsidRPr="000B21F6" w:rsidRDefault="000B21F6" w:rsidP="000B21F6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0B21F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Das Übereinkommen über biologische Waffen von 1972 sollte durch zusätzliche Bestimmungen über Kontrollinspektionen und Strafen bei Nichteinhaltung verstärkt werden.</w:t>
      </w:r>
    </w:p>
    <w:p w14:paraId="1D79F1D5" w14:textId="77777777" w:rsidR="000B21F6" w:rsidRPr="000B21F6" w:rsidRDefault="000B21F6" w:rsidP="000B21F6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0B21F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Preiswerte, zugelassene antivirale Medikamente mit breitem Wirkungsspektrum wie Hydroxychloroquin und </w:t>
      </w:r>
      <w:proofErr w:type="spellStart"/>
      <w:r w:rsidRPr="000B21F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Ivermectin</w:t>
      </w:r>
      <w:proofErr w:type="spellEnd"/>
      <w:r w:rsidRPr="000B21F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sollten verfügbar gemacht und nicht unterdrückt werden.</w:t>
      </w:r>
    </w:p>
    <w:p w14:paraId="6F7DA0D4" w14:textId="009D6C58" w:rsidR="007E4C1E" w:rsidRPr="007E4C1E" w:rsidRDefault="007E4C1E" w:rsidP="007E4C1E">
      <w:pPr>
        <w:pStyle w:val="StandardWeb"/>
      </w:pPr>
    </w:p>
    <w:sectPr w:rsidR="007E4C1E" w:rsidRPr="007E4C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3950"/>
    <w:multiLevelType w:val="multilevel"/>
    <w:tmpl w:val="E7EE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0540BD"/>
    <w:multiLevelType w:val="multilevel"/>
    <w:tmpl w:val="CD34E0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3132D"/>
    <w:multiLevelType w:val="multilevel"/>
    <w:tmpl w:val="A090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390CDA"/>
    <w:multiLevelType w:val="multilevel"/>
    <w:tmpl w:val="8AA45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367183"/>
    <w:multiLevelType w:val="multilevel"/>
    <w:tmpl w:val="0B2C10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DC2FA8"/>
    <w:multiLevelType w:val="multilevel"/>
    <w:tmpl w:val="002E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31782E"/>
    <w:multiLevelType w:val="multilevel"/>
    <w:tmpl w:val="7B0C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D03E38"/>
    <w:multiLevelType w:val="multilevel"/>
    <w:tmpl w:val="428C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0D0154"/>
    <w:multiLevelType w:val="multilevel"/>
    <w:tmpl w:val="4666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211D4F"/>
    <w:multiLevelType w:val="multilevel"/>
    <w:tmpl w:val="3D30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920190"/>
    <w:multiLevelType w:val="multilevel"/>
    <w:tmpl w:val="1F3A5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298431">
    <w:abstractNumId w:val="9"/>
  </w:num>
  <w:num w:numId="2" w16cid:durableId="1587617575">
    <w:abstractNumId w:val="2"/>
  </w:num>
  <w:num w:numId="3" w16cid:durableId="612248729">
    <w:abstractNumId w:val="8"/>
  </w:num>
  <w:num w:numId="4" w16cid:durableId="1325204848">
    <w:abstractNumId w:val="0"/>
  </w:num>
  <w:num w:numId="5" w16cid:durableId="246808653">
    <w:abstractNumId w:val="7"/>
  </w:num>
  <w:num w:numId="6" w16cid:durableId="603147544">
    <w:abstractNumId w:val="3"/>
  </w:num>
  <w:num w:numId="7" w16cid:durableId="2071535055">
    <w:abstractNumId w:val="5"/>
  </w:num>
  <w:num w:numId="8" w16cid:durableId="958297831">
    <w:abstractNumId w:val="6"/>
  </w:num>
  <w:num w:numId="9" w16cid:durableId="1462768006">
    <w:abstractNumId w:val="1"/>
  </w:num>
  <w:num w:numId="10" w16cid:durableId="1465390486">
    <w:abstractNumId w:val="10"/>
  </w:num>
  <w:num w:numId="11" w16cid:durableId="2991920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5C"/>
    <w:rsid w:val="000B21F6"/>
    <w:rsid w:val="00113AE9"/>
    <w:rsid w:val="00310FA5"/>
    <w:rsid w:val="004D6F5A"/>
    <w:rsid w:val="007E4C1E"/>
    <w:rsid w:val="00A7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60F4"/>
  <w15:chartTrackingRefBased/>
  <w15:docId w15:val="{9D1C2600-E95B-4947-A844-A8732A5B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13A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7445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7445C"/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paragraph" w:styleId="StandardWeb">
    <w:name w:val="Normal (Web)"/>
    <w:basedOn w:val="Standard"/>
    <w:uiPriority w:val="99"/>
    <w:unhideWhenUsed/>
    <w:rsid w:val="00A7445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A7445C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A7445C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A7445C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3A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8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Degner</dc:creator>
  <cp:keywords/>
  <dc:description/>
  <cp:lastModifiedBy>Jutta Degner</cp:lastModifiedBy>
  <cp:revision>3</cp:revision>
  <dcterms:created xsi:type="dcterms:W3CDTF">2023-11-17T09:04:00Z</dcterms:created>
  <dcterms:modified xsi:type="dcterms:W3CDTF">2023-11-17T09:04:00Z</dcterms:modified>
</cp:coreProperties>
</file>