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315" w14:textId="77777777" w:rsidR="002A5F50" w:rsidRPr="00821363" w:rsidRDefault="00000000">
      <w:pPr>
        <w:pStyle w:val="Corpo"/>
        <w:jc w:val="both"/>
        <w:rPr>
          <w:rFonts w:ascii="Times New Roman" w:eastAsia="Bodoni SvtyTwo ITC TT-Bold" w:hAnsi="Times New Roman" w:cs="Times New Roman"/>
          <w:b/>
          <w:bCs/>
          <w:sz w:val="44"/>
          <w:szCs w:val="44"/>
        </w:rPr>
      </w:pPr>
      <w:r w:rsidRPr="00821363">
        <w:rPr>
          <w:rFonts w:ascii="Times New Roman" w:hAnsi="Times New Roman" w:cs="Times New Roman"/>
          <w:b/>
          <w:bCs/>
          <w:sz w:val="44"/>
          <w:szCs w:val="44"/>
        </w:rPr>
        <w:t>Uno sguardo attento sulla preparazione alle pandemie</w:t>
      </w:r>
    </w:p>
    <w:p w14:paraId="7C4D34D1" w14:textId="77777777" w:rsidR="002A5F50" w:rsidRPr="00821363" w:rsidRDefault="002A5F5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</w:p>
    <w:p w14:paraId="38F02E1D" w14:textId="77777777" w:rsidR="002A5F50" w:rsidRPr="00821363" w:rsidRDefault="00000000" w:rsidP="00821363">
      <w:pPr>
        <w:pStyle w:val="Corpo"/>
        <w:jc w:val="center"/>
        <w:rPr>
          <w:rFonts w:ascii="Times New Roman" w:eastAsia="Bodoni SvtyTwo ITC TT-Book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 xml:space="preserve">Dr. Meryl </w:t>
      </w:r>
      <w:proofErr w:type="spellStart"/>
      <w:r w:rsidRPr="00821363">
        <w:rPr>
          <w:rFonts w:ascii="Times New Roman" w:hAnsi="Times New Roman" w:cs="Times New Roman"/>
          <w:sz w:val="24"/>
          <w:szCs w:val="24"/>
        </w:rPr>
        <w:t>Nass</w:t>
      </w:r>
      <w:proofErr w:type="spellEnd"/>
      <w:r w:rsidRPr="00821363">
        <w:rPr>
          <w:rFonts w:ascii="Times New Roman" w:hAnsi="Times New Roman" w:cs="Times New Roman"/>
          <w:sz w:val="24"/>
          <w:szCs w:val="24"/>
        </w:rPr>
        <w:t>, medico</w:t>
      </w:r>
    </w:p>
    <w:p w14:paraId="7125CF7F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5296277B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65758CB2" w14:textId="77777777" w:rsidR="002A5F50" w:rsidRPr="00821363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 xml:space="preserve">Nella sua forma attuale, la Pandemic </w:t>
      </w:r>
      <w:proofErr w:type="spellStart"/>
      <w:r w:rsidRPr="00821363">
        <w:rPr>
          <w:rFonts w:ascii="Times New Roman" w:hAnsi="Times New Roman" w:cs="Times New Roman"/>
          <w:sz w:val="24"/>
          <w:szCs w:val="24"/>
        </w:rPr>
        <w:t>Preparedness</w:t>
      </w:r>
      <w:proofErr w:type="spellEnd"/>
      <w:r w:rsidRPr="00821363">
        <w:rPr>
          <w:rFonts w:ascii="Times New Roman" w:hAnsi="Times New Roman" w:cs="Times New Roman"/>
          <w:sz w:val="24"/>
          <w:szCs w:val="24"/>
        </w:rPr>
        <w:t xml:space="preserve"> è una truffa, un'operazione di marketing e un cavallo di Troia progettato per:</w:t>
      </w:r>
    </w:p>
    <w:p w14:paraId="69A381E5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40BB2A59" w14:textId="77777777" w:rsidR="002A5F50" w:rsidRPr="00821363" w:rsidRDefault="00000000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trasferire decine o centinaia di miliardi di dollari di fondi dei contribuenti a industrie, nazioni e OMS favorite,</w:t>
      </w:r>
    </w:p>
    <w:p w14:paraId="67547158" w14:textId="77777777" w:rsidR="002A5F50" w:rsidRPr="00821363" w:rsidRDefault="00000000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giustificare la censura e la propaganda in nome della salute pubblica,</w:t>
      </w:r>
    </w:p>
    <w:p w14:paraId="2D8D3515" w14:textId="77777777" w:rsidR="002A5F50" w:rsidRPr="00821363" w:rsidRDefault="00000000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trasferire la sovranità e il potere decisionale in materia di salute pubblica al Direttore generale dell’</w:t>
      </w:r>
      <w:r w:rsidRPr="00821363">
        <w:rPr>
          <w:rFonts w:ascii="Times New Roman" w:hAnsi="Times New Roman" w:cs="Times New Roman"/>
          <w:sz w:val="24"/>
          <w:szCs w:val="24"/>
          <w:lang w:val="pt-PT"/>
        </w:rPr>
        <w:t>OMS,</w:t>
      </w:r>
    </w:p>
    <w:p w14:paraId="1D3A20A0" w14:textId="77777777" w:rsidR="002A5F50" w:rsidRPr="00821363" w:rsidRDefault="00000000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utilizzare il concetto di "One Health" per impacchettare uomini, animali, piante ed ecosistemi, compresi i cambiamenti climatici, nel paniere "One Health" sotto l'autorità dell’</w:t>
      </w:r>
      <w:r w:rsidRPr="00821363">
        <w:rPr>
          <w:rFonts w:ascii="Times New Roman" w:hAnsi="Times New Roman" w:cs="Times New Roman"/>
          <w:sz w:val="24"/>
          <w:szCs w:val="24"/>
          <w:lang w:val="pt-PT"/>
        </w:rPr>
        <w:t>OMS,</w:t>
      </w:r>
    </w:p>
    <w:p w14:paraId="5A02643A" w14:textId="77777777" w:rsidR="002A5F50" w:rsidRPr="00821363" w:rsidRDefault="00000000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ottenere un maggior numero di potenziali agenti patogeni pandemici (agenti di guerra biologica) e distribuirli ampiamente, aumentando la probabilità di pandemie e rendendo impossibile conoscerne la provenienza,</w:t>
      </w:r>
    </w:p>
    <w:p w14:paraId="28CBF790" w14:textId="77777777" w:rsidR="002A5F50" w:rsidRPr="00821363" w:rsidRDefault="00000000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possibilmente aumentare il numero di pandemie, il che può giustificare più vaccini, passaporti vaccinali e valute digitali, e un maggiore controllo sulle popolazioni,</w:t>
      </w:r>
    </w:p>
    <w:p w14:paraId="33E517C5" w14:textId="77777777" w:rsidR="002A5F50" w:rsidRPr="00821363" w:rsidRDefault="00000000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giustificare l'imposizione di vaccini di rapida produzione, scarsamente testati e privi di responsabilità; e possibilmente imporre vaccini senza licenza, come è stato fatto durante la pandemia di COVID,</w:t>
      </w:r>
    </w:p>
    <w:p w14:paraId="76CDACD7" w14:textId="77777777" w:rsidR="002A5F50" w:rsidRPr="00821363" w:rsidRDefault="00000000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continuare un programma di vaccini nonostante un'efficacia complessivamente negativa e gravi effetti collaterali.</w:t>
      </w:r>
    </w:p>
    <w:p w14:paraId="4B6CB0DC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23C9D266" w14:textId="77777777" w:rsidR="002A5F50" w:rsidRPr="00821363" w:rsidRDefault="002A5F5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</w:p>
    <w:p w14:paraId="10994ACE" w14:textId="77777777" w:rsidR="002A5F50" w:rsidRPr="00821363" w:rsidRDefault="0000000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2. Non siamo riusciti a prevenire, individuare o essere preparati a guerre biologiche/pandemie:</w:t>
      </w:r>
    </w:p>
    <w:p w14:paraId="63D779B4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5C64E96C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I programmi di campionamento dell'aria da svariati miliardi di dollari istituiti dal governo federale nelle grandi città dopo l'11 settembre non si sono rivelati utili.</w:t>
      </w:r>
    </w:p>
    <w:p w14:paraId="265BB7D1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I test disponibili sono troppo sensibili o insensibili per rilevare un rilascio deliberato di microrganismi.</w:t>
      </w:r>
    </w:p>
    <w:p w14:paraId="27A78FC3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 xml:space="preserve">Gli acquisti di materiale per la </w:t>
      </w:r>
      <w:proofErr w:type="spellStart"/>
      <w:r w:rsidRPr="00821363">
        <w:rPr>
          <w:rFonts w:ascii="Times New Roman" w:hAnsi="Times New Roman" w:cs="Times New Roman"/>
          <w:sz w:val="24"/>
          <w:szCs w:val="24"/>
        </w:rPr>
        <w:t>biodifesa</w:t>
      </w:r>
      <w:proofErr w:type="spellEnd"/>
      <w:r w:rsidRPr="00821363">
        <w:rPr>
          <w:rFonts w:ascii="Times New Roman" w:hAnsi="Times New Roman" w:cs="Times New Roman"/>
          <w:sz w:val="24"/>
          <w:szCs w:val="24"/>
        </w:rPr>
        <w:t xml:space="preserve"> sono stati spesso effettuati da aziende ben collegate per ottenere prodotti non utilizzati e successivamente scaduti, come i vaccini e i farmaci contro l'antrace e il vaiolo.</w:t>
      </w:r>
    </w:p>
    <w:p w14:paraId="62430694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Gli acquisti di maschere, guanti e camici non sono stati riforniti dopo la piccola epidemia di Ebola del 2014 negli Stati Uniti e non erano generalmente disponibili per il COVID.</w:t>
      </w:r>
    </w:p>
    <w:p w14:paraId="40603455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 xml:space="preserve">Il personale non è stato addestrato all'uso corretto dei DPI, </w:t>
      </w:r>
      <w:proofErr w:type="spellStart"/>
      <w:r w:rsidRPr="00821363">
        <w:rPr>
          <w:rFonts w:ascii="Times New Roman" w:hAnsi="Times New Roman" w:cs="Times New Roman"/>
          <w:sz w:val="24"/>
          <w:szCs w:val="24"/>
        </w:rPr>
        <w:t>perch</w:t>
      </w:r>
      <w:proofErr w:type="spellEnd"/>
      <w:r w:rsidRPr="00821363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821363">
        <w:rPr>
          <w:rFonts w:ascii="Times New Roman" w:hAnsi="Times New Roman" w:cs="Times New Roman"/>
          <w:sz w:val="24"/>
          <w:szCs w:val="24"/>
        </w:rPr>
        <w:t>a causa della carenza le linee guida del CDC sono state adattate per consentire il riutilizzo, nonostante la diminuzione della filtrazione e il maggior rischio di contaminazione con l'uso prolungato o ripetuto.</w:t>
      </w:r>
    </w:p>
    <w:p w14:paraId="45C46F2E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Con 200 incidenti con potenziali agenti patogeni pandemici (PPP o "agenti selezionati") segnalati ogni anno al programma Select Agent del CDC, gli Stati Uniti hanno dimostrato che anche con i migliori laboratori di livello di biosicurezza 3 e 4 e con la formazione, la ricerca sui PPP non può essere condotta in sicurezza.</w:t>
      </w:r>
    </w:p>
    <w:p w14:paraId="1BEA0A6F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Finora nessuno è stato in grado di aggirare tutti gli errori umani e meccanici.</w:t>
      </w:r>
    </w:p>
    <w:p w14:paraId="7C9F0C2D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Non possiamo evitare al 100% che gli animali da esperimento infetti mordano i ricercatori e gli addetti agli animali.</w:t>
      </w:r>
    </w:p>
    <w:p w14:paraId="7CA321F7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195AF83E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51F23192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5364A014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565E0AA3" w14:textId="77777777" w:rsidR="002A5F50" w:rsidRPr="00821363" w:rsidRDefault="002A5F5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</w:p>
    <w:p w14:paraId="70CAF437" w14:textId="77777777" w:rsidR="002A5F50" w:rsidRPr="00821363" w:rsidRDefault="0000000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3. Come sarebbero la prevenzione, la preparazione e la risposta alle pandemie se l'OMS facesse sul serio?</w:t>
      </w:r>
    </w:p>
    <w:p w14:paraId="3507DC7D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09A280A7" w14:textId="77777777" w:rsidR="002A5F50" w:rsidRPr="00821363" w:rsidRDefault="00000000">
      <w:pPr>
        <w:pStyle w:val="Corp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La ricerca sui prodotti fitosanitari sarebbe soggetta a una rigorosa supervisione e a limitazioni, per essere certi che sia condotta solo per scopi pacifici, come lo sviluppo di vaccini o farmaci.</w:t>
      </w:r>
    </w:p>
    <w:p w14:paraId="3A2E46F5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La ricerca di nuovi prodotti fitosanitari sarebbe scoraggiata, non incentivata dal trattato sulle pandemie.</w:t>
      </w:r>
    </w:p>
    <w:p w14:paraId="1C64F900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Il trasferimento dei prodotti fitosanitari sarebbe strettamente regolamentato, in conformità con la risoluzione 1540 del Consiglio di Sicurezza e con le norme statunitensi sugli agenti selezionati.</w:t>
      </w:r>
    </w:p>
    <w:p w14:paraId="68B1403A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 xml:space="preserve">La ricerca sul guadagno di funzione (Gain Of </w:t>
      </w:r>
      <w:proofErr w:type="spellStart"/>
      <w:r w:rsidRPr="00821363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821363">
        <w:rPr>
          <w:rFonts w:ascii="Times New Roman" w:hAnsi="Times New Roman" w:cs="Times New Roman"/>
          <w:sz w:val="24"/>
          <w:szCs w:val="24"/>
        </w:rPr>
        <w:t xml:space="preserve"> - GOF) sarebbe rigorosamente vietata.</w:t>
      </w:r>
    </w:p>
    <w:p w14:paraId="72F9D8FE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 xml:space="preserve">L'ex direttore del CDC </w:t>
      </w:r>
      <w:proofErr w:type="spellStart"/>
      <w:r w:rsidRPr="00821363">
        <w:rPr>
          <w:rFonts w:ascii="Times New Roman" w:hAnsi="Times New Roman" w:cs="Times New Roman"/>
          <w:sz w:val="24"/>
          <w:szCs w:val="24"/>
        </w:rPr>
        <w:t>Redfield</w:t>
      </w:r>
      <w:proofErr w:type="spellEnd"/>
      <w:r w:rsidRPr="00821363">
        <w:rPr>
          <w:rFonts w:ascii="Times New Roman" w:hAnsi="Times New Roman" w:cs="Times New Roman"/>
          <w:sz w:val="24"/>
          <w:szCs w:val="24"/>
        </w:rPr>
        <w:t xml:space="preserve"> ha dichiarato al Congresso che, a sua conoscenza, nessun farmaco, vaccino o terapia è stato sviluppato attraverso la ricerca sulla guerra biologica (Gain of </w:t>
      </w:r>
      <w:proofErr w:type="spellStart"/>
      <w:r w:rsidRPr="00821363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821363">
        <w:rPr>
          <w:rFonts w:ascii="Times New Roman" w:hAnsi="Times New Roman" w:cs="Times New Roman"/>
          <w:sz w:val="24"/>
          <w:szCs w:val="24"/>
        </w:rPr>
        <w:t>). Il GOF dovrebbe cessare.</w:t>
      </w:r>
    </w:p>
    <w:p w14:paraId="76068600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La Convenzione sulle armi biologiche del 1972 dovrebbe essere rafforzata con l'aggiunta di disposizioni per le ispezioni di sfida e le punizioni per la non conformità.</w:t>
      </w:r>
    </w:p>
    <w:p w14:paraId="734FA668" w14:textId="77777777" w:rsidR="002A5F50" w:rsidRPr="00821363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363">
        <w:rPr>
          <w:rFonts w:ascii="Times New Roman" w:hAnsi="Times New Roman" w:cs="Times New Roman"/>
          <w:sz w:val="24"/>
          <w:szCs w:val="24"/>
        </w:rPr>
        <w:t>I farmaci antivirali ad ampio spettro, economici e autorizzati, come l'idrossiclorochina e l'</w:t>
      </w:r>
      <w:proofErr w:type="spellStart"/>
      <w:r w:rsidRPr="00821363">
        <w:rPr>
          <w:rFonts w:ascii="Times New Roman" w:hAnsi="Times New Roman" w:cs="Times New Roman"/>
          <w:sz w:val="24"/>
          <w:szCs w:val="24"/>
        </w:rPr>
        <w:t>ivermectina</w:t>
      </w:r>
      <w:proofErr w:type="spellEnd"/>
      <w:r w:rsidRPr="00821363">
        <w:rPr>
          <w:rFonts w:ascii="Times New Roman" w:hAnsi="Times New Roman" w:cs="Times New Roman"/>
          <w:sz w:val="24"/>
          <w:szCs w:val="24"/>
        </w:rPr>
        <w:t>, dovrebbero essere resi disponibili, non soppressi.</w:t>
      </w:r>
    </w:p>
    <w:p w14:paraId="51AFE016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63349304" w14:textId="77777777" w:rsidR="002A5F50" w:rsidRPr="00821363" w:rsidRDefault="002A5F5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72F8F749" w14:textId="77777777" w:rsidR="002A5F50" w:rsidRPr="00821363" w:rsidRDefault="00000000">
      <w:pPr>
        <w:pStyle w:val="Corpo"/>
        <w:jc w:val="both"/>
        <w:rPr>
          <w:rFonts w:ascii="Times New Roman" w:hAnsi="Times New Roman" w:cs="Times New Roman"/>
        </w:rPr>
      </w:pPr>
      <w:r w:rsidRPr="00821363">
        <w:rPr>
          <w:rFonts w:ascii="Times New Roman" w:hAnsi="Times New Roman" w:cs="Times New Roman"/>
          <w:sz w:val="24"/>
          <w:szCs w:val="24"/>
          <w:lang w:val="en-US"/>
        </w:rPr>
        <w:t>DOORTOFREEDOM.ORG</w:t>
      </w:r>
    </w:p>
    <w:p w14:paraId="616F5FE5" w14:textId="77777777" w:rsidR="00821363" w:rsidRPr="00821363" w:rsidRDefault="00821363">
      <w:pPr>
        <w:pStyle w:val="Corpo"/>
        <w:jc w:val="both"/>
        <w:rPr>
          <w:rFonts w:ascii="Times New Roman" w:hAnsi="Times New Roman" w:cs="Times New Roman"/>
        </w:rPr>
      </w:pPr>
    </w:p>
    <w:sectPr w:rsidR="00821363" w:rsidRPr="0082136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857C" w14:textId="77777777" w:rsidR="00C5783C" w:rsidRDefault="00C5783C">
      <w:r>
        <w:separator/>
      </w:r>
    </w:p>
  </w:endnote>
  <w:endnote w:type="continuationSeparator" w:id="0">
    <w:p w14:paraId="7682479E" w14:textId="77777777" w:rsidR="00C5783C" w:rsidRDefault="00C5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doni SvtyTwo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odoni SvtyTwo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0997" w14:textId="77777777" w:rsidR="002A5F50" w:rsidRDefault="002A5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0E8C" w14:textId="77777777" w:rsidR="00C5783C" w:rsidRDefault="00C5783C">
      <w:r>
        <w:separator/>
      </w:r>
    </w:p>
  </w:footnote>
  <w:footnote w:type="continuationSeparator" w:id="0">
    <w:p w14:paraId="07361499" w14:textId="77777777" w:rsidR="00C5783C" w:rsidRDefault="00C5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E781" w14:textId="77777777" w:rsidR="002A5F50" w:rsidRDefault="002A5F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68E7"/>
    <w:multiLevelType w:val="hybridMultilevel"/>
    <w:tmpl w:val="6E5E9F84"/>
    <w:styleLink w:val="Conlettere"/>
    <w:lvl w:ilvl="0" w:tplc="11AA0C3A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A52CE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427E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0789C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302F1C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CDC3C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C4BFC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4778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C9624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097235"/>
    <w:multiLevelType w:val="hybridMultilevel"/>
    <w:tmpl w:val="6C488AB0"/>
    <w:styleLink w:val="Numerato"/>
    <w:lvl w:ilvl="0" w:tplc="0560721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EFE8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4FAF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834B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8F318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802B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808D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AAE44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6467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656789"/>
    <w:multiLevelType w:val="hybridMultilevel"/>
    <w:tmpl w:val="6C488AB0"/>
    <w:numStyleLink w:val="Numerato"/>
  </w:abstractNum>
  <w:abstractNum w:abstractNumId="3" w15:restartNumberingAfterBreak="0">
    <w:nsid w:val="75B166D3"/>
    <w:multiLevelType w:val="hybridMultilevel"/>
    <w:tmpl w:val="6E5E9F84"/>
    <w:numStyleLink w:val="Conlettere"/>
  </w:abstractNum>
  <w:num w:numId="1" w16cid:durableId="20976230">
    <w:abstractNumId w:val="1"/>
  </w:num>
  <w:num w:numId="2" w16cid:durableId="1664695898">
    <w:abstractNumId w:val="2"/>
  </w:num>
  <w:num w:numId="3" w16cid:durableId="1119683510">
    <w:abstractNumId w:val="0"/>
  </w:num>
  <w:num w:numId="4" w16cid:durableId="741215490">
    <w:abstractNumId w:val="3"/>
  </w:num>
  <w:num w:numId="5" w16cid:durableId="906065463">
    <w:abstractNumId w:val="3"/>
    <w:lvlOverride w:ilvl="0">
      <w:startOverride w:val="1"/>
      <w:lvl w:ilvl="0" w:tplc="38244C8E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460F94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EA2EB0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101DC6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D67BC6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1E51E6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3A0F28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2CB826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14DD9A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730227534">
    <w:abstractNumId w:val="3"/>
    <w:lvlOverride w:ilvl="0">
      <w:startOverride w:val="1"/>
      <w:lvl w:ilvl="0" w:tplc="38244C8E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460F94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EA2EB0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101DC6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D67BC6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1E51E6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3A0F28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2CB826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14DD9A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50"/>
    <w:rsid w:val="002A5F50"/>
    <w:rsid w:val="00821363"/>
    <w:rsid w:val="00C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193B2"/>
  <w15:docId w15:val="{F205AE95-B23C-8544-A358-6D0668FF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  <w:style w:type="numbering" w:customStyle="1" w:styleId="Conlettere">
    <w:name w:val="Con letter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Jutta Degner</cp:lastModifiedBy>
  <cp:revision>2</cp:revision>
  <dcterms:created xsi:type="dcterms:W3CDTF">2023-11-20T08:32:00Z</dcterms:created>
  <dcterms:modified xsi:type="dcterms:W3CDTF">2023-11-20T08:32:00Z</dcterms:modified>
</cp:coreProperties>
</file>