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97D5" w14:textId="499097A8" w:rsidR="00E23381" w:rsidRDefault="00891C29" w:rsidP="00E23381">
      <w:pP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</w:pPr>
      <w:r w:rsidRPr="00891C29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O privire atentă asupra pregătirii pentru pandemii</w:t>
      </w:r>
    </w:p>
    <w:p w14:paraId="2542EA8E" w14:textId="77777777" w:rsidR="00891C29" w:rsidRDefault="00891C29" w:rsidP="00E23381">
      <w:pP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</w:pPr>
    </w:p>
    <w:p w14:paraId="43D1F3FF" w14:textId="6E0592C3" w:rsidR="00891C29" w:rsidRDefault="00891C29" w:rsidP="00891C29">
      <w:pPr>
        <w:jc w:val="center"/>
      </w:pPr>
      <w:r>
        <w:t>Meryl Nass, MD</w:t>
      </w:r>
    </w:p>
    <w:p w14:paraId="16094ED6" w14:textId="77777777" w:rsidR="00891C29" w:rsidRDefault="00891C29" w:rsidP="00891C29">
      <w:pPr>
        <w:jc w:val="center"/>
      </w:pPr>
    </w:p>
    <w:p w14:paraId="07012EBE" w14:textId="77777777" w:rsidR="00891C29" w:rsidRPr="00891C29" w:rsidRDefault="00891C29" w:rsidP="00891C2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1. Așa cum este planificată în prezent, Pregătirea pentru pandemie este o înșelătorie/extravaganța/"calul troian" conceput pentru:</w:t>
      </w:r>
    </w:p>
    <w:p w14:paraId="536AD8D5" w14:textId="77777777" w:rsidR="00891C29" w:rsidRPr="00891C29" w:rsidRDefault="00891C29" w:rsidP="00891C29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să transfere zeci sau sute de miliarde de dolari din fondurile contribuabililor către industrii, națiuni favorizate și OMS .</w:t>
      </w:r>
    </w:p>
    <w:p w14:paraId="450D4ADB" w14:textId="77777777" w:rsidR="00891C29" w:rsidRPr="00891C29" w:rsidRDefault="00891C29" w:rsidP="00891C29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să justifice cenzura și propaganda în numele sănătății publice,</w:t>
      </w:r>
    </w:p>
    <w:p w14:paraId="29FD877B" w14:textId="77777777" w:rsidR="00891C29" w:rsidRPr="00891C29" w:rsidRDefault="00891C29" w:rsidP="00891C29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să transfere suveranitatea și procesul de luare a deciziilor în materie de sănătate publică către directorul general al OMS,</w:t>
      </w:r>
    </w:p>
    <w:p w14:paraId="7E433DF1" w14:textId="77777777" w:rsidR="00891C29" w:rsidRPr="00891C29" w:rsidRDefault="00891C29" w:rsidP="00891C29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utilizarea conceptului "O singură sănătate" pentru a îngloba oamenii, animalele, plantele și ecosistemele, inclusiv schimbările climatice, în coșul "O singură sănătate" sub autoritatea OMS,</w:t>
      </w:r>
    </w:p>
    <w:p w14:paraId="74AC3298" w14:textId="77777777" w:rsidR="00891C29" w:rsidRPr="00891C29" w:rsidRDefault="00891C29" w:rsidP="00891C29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să obțină mai mulți potențiali agenți patogeni pandemici (agenți de război biologic) și să îi distribuie pe scară largă, sporind probabilitatea apariției pandemiilor și făcând imposibilă cunoașterea originii acestora,</w:t>
      </w:r>
    </w:p>
    <w:p w14:paraId="0D1DEEBA" w14:textId="77777777" w:rsidR="00891C29" w:rsidRPr="00891C29" w:rsidRDefault="00891C29" w:rsidP="00891C29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eventual pentru a crește numărul de pandemii, ceea ce poate justifica mai multe vaccinuri, pașapoarte pentru vaccinuri și monede digitale, precum și un control mai mare asupra populațiilor,</w:t>
      </w:r>
    </w:p>
    <w:p w14:paraId="505C12A3" w14:textId="77777777" w:rsidR="00891C29" w:rsidRPr="00891C29" w:rsidRDefault="00891C29" w:rsidP="00891C29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să justifice impunerea unor vaccinuri produse rapid, slab testate și fără responsabilitate; și, eventual, să impună vaccinuri fără licență, așa cum s-a făcut în timpul pandemiei COVID,</w:t>
      </w:r>
    </w:p>
    <w:p w14:paraId="7743D279" w14:textId="77777777" w:rsidR="00891C29" w:rsidRPr="00891C29" w:rsidRDefault="00891C29" w:rsidP="00891C29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să continue un program de vaccinare în ciuda eficacității negative în general și a efectelor secundare medicale grave.</w:t>
      </w:r>
    </w:p>
    <w:p w14:paraId="7FEE754C" w14:textId="77777777" w:rsidR="00891C29" w:rsidRPr="00891C29" w:rsidRDefault="00891C29" w:rsidP="00891C2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2. Nu am reușit să prevenim, să detectăm sau să fim pregătiți pentru războaie biologice/ pandemii:</w:t>
      </w:r>
    </w:p>
    <w:p w14:paraId="7A16E2DC" w14:textId="77777777" w:rsidR="00891C29" w:rsidRPr="00891C29" w:rsidRDefault="00891C29" w:rsidP="00891C29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Programele de prelevare a probelor de aer în valoare de mai multe miliarde de dolari instituite de guvernul federal în marile orașe după 11 septembrie 2001 nu au reușit să fie utile.</w:t>
      </w:r>
    </w:p>
    <w:p w14:paraId="5B0A14AC" w14:textId="77777777" w:rsidR="00891C29" w:rsidRPr="00891C29" w:rsidRDefault="00891C29" w:rsidP="00891C29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Testele disponibile sunt fie prea sensibile, fie prea insensibile pentru a detecta o eliberare deliberată de microorganisme.</w:t>
      </w:r>
    </w:p>
    <w:p w14:paraId="2CC7E2FA" w14:textId="77777777" w:rsidR="00891C29" w:rsidRPr="00891C29" w:rsidRDefault="00891C29" w:rsidP="00891C29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Achizițiile de material de bioapărare au fost adesea efectuate de la companii cu relații bune pentru a obține produse care nu au fost folosite și care au expirat ulterior, cum ar fi vaccinurile și medicamentele împotriva antraxului și variolei.</w:t>
      </w:r>
    </w:p>
    <w:p w14:paraId="0B5B5828" w14:textId="77777777" w:rsidR="00891C29" w:rsidRPr="00891C29" w:rsidRDefault="00891C29" w:rsidP="00891C29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Achizițiile de măști, mănuși și halate nu au fost reaprovizionate după mica epidemie de Ebola din SUA din 2014 și, în general, nu au fost disponibile pentru COVID.</w:t>
      </w:r>
    </w:p>
    <w:p w14:paraId="4A51A702" w14:textId="77777777" w:rsidR="00891C29" w:rsidRPr="00891C29" w:rsidRDefault="00891C29" w:rsidP="00891C29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Personalul nu a fost instruit cu privire la utilizarea corectă a EIP( echipamant individual de protectie), deoarece, din cauza penuriei, liniile directoare ale CDC au fost adaptate pentru a permite reutilizarea, în ciuda scăderii filtrării și a riscului mai mare de contaminare în cazul utilizării prelungite sau repetate.</w:t>
      </w:r>
    </w:p>
    <w:p w14:paraId="3980E592" w14:textId="77777777" w:rsidR="00891C29" w:rsidRPr="00891C29" w:rsidRDefault="00891C29" w:rsidP="00891C29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Având în vedere că 200 de accidente cu agenți patogeni potențial pandemici ( </w:t>
      </w:r>
      <w:r w:rsidRPr="00891C2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PPP</w:t>
      </w: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sau "agenți selecți") sunt raportate anual la programul de agenți selecți al CDC, SUA au </w:t>
      </w: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lastRenderedPageBreak/>
        <w:t xml:space="preserve">dovedit că, chiar și cu cele mai bune laboratoare de nivel de biosecuritate 3 și 4 și cu cea mai bună pregătire, </w:t>
      </w:r>
      <w:r w:rsidRPr="00891C29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cercetarea asupra PPP nu poate fi efectuată în siguranță</w:t>
      </w: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20F3F6D2" w14:textId="77777777" w:rsidR="00891C29" w:rsidRPr="00891C29" w:rsidRDefault="00891C29" w:rsidP="00891C29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Până în prezent, nimeni nu a fost în măsură să ocolească toate erorile umane și mecanice.</w:t>
      </w:r>
    </w:p>
    <w:p w14:paraId="4A509587" w14:textId="77777777" w:rsidR="00891C29" w:rsidRPr="00891C29" w:rsidRDefault="00891C29" w:rsidP="00891C29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Nu putem împiedica 100% animalele experimentale infectate să muște cercetătorii și persoanele care se ocupă de animale</w:t>
      </w:r>
    </w:p>
    <w:p w14:paraId="10854193" w14:textId="77777777" w:rsidR="00891C29" w:rsidRPr="00891C29" w:rsidRDefault="00891C29" w:rsidP="00891C2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3. Cum ar arăta cu adevărat prevenirea, pregătirea și reacția în caz de pandemie dacă OMS ar lua în serios această problemă?</w:t>
      </w:r>
    </w:p>
    <w:p w14:paraId="63315C99" w14:textId="77777777" w:rsidR="00891C29" w:rsidRPr="00891C29" w:rsidRDefault="00891C29" w:rsidP="00891C29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Ar exista o supraveghere strictă și limitări stricte ale cercetărilor asupra PPP-urilor pentru a fi siguri că acestea sunt efectuate doar în scopuri pașnice, cum ar fi dezvoltarea de vaccinuri sau medicamente.</w:t>
      </w:r>
    </w:p>
    <w:p w14:paraId="77BA3C42" w14:textId="77777777" w:rsidR="00891C29" w:rsidRPr="00891C29" w:rsidRDefault="00891C29" w:rsidP="00891C29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Căutarea de noi PPP-uri ar fi descurajată, nu stimulată de tratatul privind pandemia.</w:t>
      </w:r>
    </w:p>
    <w:p w14:paraId="3EA6B8A5" w14:textId="77777777" w:rsidR="00891C29" w:rsidRPr="00891C29" w:rsidRDefault="00891C29" w:rsidP="00891C29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Transferul PPP-urilor ar fi strict reglementat, în conformitate cu Rezoluția 1540 a Consiliului de Securitate și cu reglementările SUA privind agenții selectivi.</w:t>
      </w:r>
    </w:p>
    <w:p w14:paraId="1D0677C5" w14:textId="77777777" w:rsidR="00891C29" w:rsidRPr="00891C29" w:rsidRDefault="00891C29" w:rsidP="00891C29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Cercetarea pentru obținerea de funcții ar fi strict interzis.</w:t>
      </w:r>
    </w:p>
    <w:p w14:paraId="1C2D94A3" w14:textId="77777777" w:rsidR="00891C29" w:rsidRPr="00891C29" w:rsidRDefault="00891C29" w:rsidP="00891C29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Fostul director al CDC, Redfield, a declarat în fața Congresului că, din cunoștințele sale, niciun medicament, vaccin sau terapie nu a fost dezvoltat prin cercetare în domeniul războiului biologic (obținerea de funcții). GOF(Cercetarea pentru obținerea de funcții) ar trebui să înceteze.</w:t>
      </w:r>
    </w:p>
    <w:p w14:paraId="1BAC036A" w14:textId="77777777" w:rsidR="00891C29" w:rsidRPr="00891C29" w:rsidRDefault="00891C29" w:rsidP="00891C29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Convenția privind armele biologice din 1972 ar trebui consolidată prin adăugarea de dispoziții privind inspecțiile de contestare și pedepse pentru nerespectarea acesteia.</w:t>
      </w:r>
    </w:p>
    <w:p w14:paraId="310BB6F3" w14:textId="77777777" w:rsidR="00891C29" w:rsidRPr="00891C29" w:rsidRDefault="00891C29" w:rsidP="00891C29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891C29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Medicamente antivirale cu spectru larg, ieftine și autorizate, precum hidroxiclorochina și ivermectina, ar trebui să fie disponibile, nu să fie suprimate.</w:t>
      </w:r>
    </w:p>
    <w:p w14:paraId="06447B1A" w14:textId="77777777" w:rsidR="00891C29" w:rsidRPr="00891C29" w:rsidRDefault="00891C29" w:rsidP="00891C29">
      <w:pPr>
        <w:rPr>
          <w:rFonts w:ascii="Times New Roman" w:hAnsi="Times New Roman" w:cs="Times New Roman"/>
          <w:lang w:val="en-US"/>
        </w:rPr>
      </w:pPr>
    </w:p>
    <w:sectPr w:rsidR="00891C29" w:rsidRPr="00891C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F25"/>
    <w:multiLevelType w:val="multilevel"/>
    <w:tmpl w:val="621C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878D0"/>
    <w:multiLevelType w:val="multilevel"/>
    <w:tmpl w:val="0A6C2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D2274"/>
    <w:multiLevelType w:val="multilevel"/>
    <w:tmpl w:val="F25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B0872"/>
    <w:multiLevelType w:val="multilevel"/>
    <w:tmpl w:val="5158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B278C"/>
    <w:multiLevelType w:val="multilevel"/>
    <w:tmpl w:val="C68A1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84C0D"/>
    <w:multiLevelType w:val="multilevel"/>
    <w:tmpl w:val="AAD8D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C5B05"/>
    <w:multiLevelType w:val="multilevel"/>
    <w:tmpl w:val="3E04A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25A67"/>
    <w:multiLevelType w:val="multilevel"/>
    <w:tmpl w:val="DE94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E6FB6"/>
    <w:multiLevelType w:val="multilevel"/>
    <w:tmpl w:val="AFC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114A9"/>
    <w:multiLevelType w:val="multilevel"/>
    <w:tmpl w:val="78C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209BE"/>
    <w:multiLevelType w:val="multilevel"/>
    <w:tmpl w:val="BE3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F904A0"/>
    <w:multiLevelType w:val="multilevel"/>
    <w:tmpl w:val="17207F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419F4"/>
    <w:multiLevelType w:val="multilevel"/>
    <w:tmpl w:val="951E1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45970"/>
    <w:multiLevelType w:val="multilevel"/>
    <w:tmpl w:val="DCB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F3723"/>
    <w:multiLevelType w:val="multilevel"/>
    <w:tmpl w:val="E402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85ECA"/>
    <w:multiLevelType w:val="multilevel"/>
    <w:tmpl w:val="78CCCC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15AB3"/>
    <w:multiLevelType w:val="multilevel"/>
    <w:tmpl w:val="82DEF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C01FD"/>
    <w:multiLevelType w:val="multilevel"/>
    <w:tmpl w:val="0F0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AB0AFB"/>
    <w:multiLevelType w:val="multilevel"/>
    <w:tmpl w:val="D056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4356C7"/>
    <w:multiLevelType w:val="multilevel"/>
    <w:tmpl w:val="BCD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821B90"/>
    <w:multiLevelType w:val="multilevel"/>
    <w:tmpl w:val="12F8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E1EB9"/>
    <w:multiLevelType w:val="multilevel"/>
    <w:tmpl w:val="AC0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40897"/>
    <w:multiLevelType w:val="multilevel"/>
    <w:tmpl w:val="7C28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811B7"/>
    <w:multiLevelType w:val="multilevel"/>
    <w:tmpl w:val="8A380E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8321923">
    <w:abstractNumId w:val="17"/>
  </w:num>
  <w:num w:numId="2" w16cid:durableId="839538984">
    <w:abstractNumId w:val="1"/>
  </w:num>
  <w:num w:numId="3" w16cid:durableId="1338772187">
    <w:abstractNumId w:val="5"/>
  </w:num>
  <w:num w:numId="4" w16cid:durableId="590357597">
    <w:abstractNumId w:val="6"/>
  </w:num>
  <w:num w:numId="5" w16cid:durableId="596131645">
    <w:abstractNumId w:val="4"/>
  </w:num>
  <w:num w:numId="6" w16cid:durableId="925728381">
    <w:abstractNumId w:val="12"/>
  </w:num>
  <w:num w:numId="7" w16cid:durableId="513419583">
    <w:abstractNumId w:val="16"/>
  </w:num>
  <w:num w:numId="8" w16cid:durableId="1385065128">
    <w:abstractNumId w:val="10"/>
  </w:num>
  <w:num w:numId="9" w16cid:durableId="586228176">
    <w:abstractNumId w:val="22"/>
  </w:num>
  <w:num w:numId="10" w16cid:durableId="1853950410">
    <w:abstractNumId w:val="20"/>
  </w:num>
  <w:num w:numId="11" w16cid:durableId="1444808820">
    <w:abstractNumId w:val="8"/>
  </w:num>
  <w:num w:numId="12" w16cid:durableId="324165396">
    <w:abstractNumId w:val="0"/>
  </w:num>
  <w:num w:numId="13" w16cid:durableId="143859463">
    <w:abstractNumId w:val="14"/>
  </w:num>
  <w:num w:numId="14" w16cid:durableId="420952947">
    <w:abstractNumId w:val="2"/>
  </w:num>
  <w:num w:numId="15" w16cid:durableId="1260023143">
    <w:abstractNumId w:val="19"/>
  </w:num>
  <w:num w:numId="16" w16cid:durableId="1886868211">
    <w:abstractNumId w:val="3"/>
  </w:num>
  <w:num w:numId="17" w16cid:durableId="1686325483">
    <w:abstractNumId w:val="21"/>
  </w:num>
  <w:num w:numId="18" w16cid:durableId="1833139636">
    <w:abstractNumId w:val="7"/>
  </w:num>
  <w:num w:numId="19" w16cid:durableId="1214317836">
    <w:abstractNumId w:val="13"/>
  </w:num>
  <w:num w:numId="20" w16cid:durableId="1977297636">
    <w:abstractNumId w:val="18"/>
  </w:num>
  <w:num w:numId="21" w16cid:durableId="1656882189">
    <w:abstractNumId w:val="9"/>
  </w:num>
  <w:num w:numId="22" w16cid:durableId="1502044761">
    <w:abstractNumId w:val="15"/>
  </w:num>
  <w:num w:numId="23" w16cid:durableId="2025470852">
    <w:abstractNumId w:val="11"/>
  </w:num>
  <w:num w:numId="24" w16cid:durableId="17711931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C8"/>
    <w:rsid w:val="001D22F4"/>
    <w:rsid w:val="002946CF"/>
    <w:rsid w:val="0031779B"/>
    <w:rsid w:val="004D6F5A"/>
    <w:rsid w:val="00601B73"/>
    <w:rsid w:val="007F73A6"/>
    <w:rsid w:val="00891C29"/>
    <w:rsid w:val="009526C8"/>
    <w:rsid w:val="00A20C4C"/>
    <w:rsid w:val="00B46D8C"/>
    <w:rsid w:val="00E2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7758"/>
  <w15:chartTrackingRefBased/>
  <w15:docId w15:val="{82E4B9F3-F3EF-8243-9DB3-01718AF3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F73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0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26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9526C8"/>
    <w:rPr>
      <w:i/>
      <w:iCs/>
    </w:rPr>
  </w:style>
  <w:style w:type="character" w:styleId="Fett">
    <w:name w:val="Strong"/>
    <w:basedOn w:val="Absatz-Standardschriftart"/>
    <w:uiPriority w:val="22"/>
    <w:qFormat/>
    <w:rsid w:val="009526C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526C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73A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0C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Degner</dc:creator>
  <cp:keywords/>
  <dc:description/>
  <cp:lastModifiedBy>Jutta Degner</cp:lastModifiedBy>
  <cp:revision>2</cp:revision>
  <dcterms:created xsi:type="dcterms:W3CDTF">2023-11-18T09:51:00Z</dcterms:created>
  <dcterms:modified xsi:type="dcterms:W3CDTF">2023-11-18T09:51:00Z</dcterms:modified>
</cp:coreProperties>
</file>