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C24D" w14:textId="77777777" w:rsidR="00E757D0" w:rsidRPr="00E757D0" w:rsidRDefault="00E757D0" w:rsidP="00E757D0">
      <w:pPr>
        <w:pStyle w:val="berschrift1"/>
        <w:rPr>
          <w:lang w:val="en-US"/>
        </w:rPr>
      </w:pPr>
      <w:r w:rsidRPr="00E757D0">
        <w:rPr>
          <w:lang w:val="en-US"/>
        </w:rPr>
        <w:t>Marea acaparare: Când va exploda bula produselor derivate, o "clasă protejată" de creditori garantați va prelua controlul asupra întregii piețe</w:t>
      </w:r>
    </w:p>
    <w:p w14:paraId="59B68E85"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Publicul este expus unei vulnerabilități monolitice concentrate în complexul instrumentelor derivate. Aceasta este o chestiune urgentă. Printre factorii declanșatori care ar putea prăbuși acest lucru se numără insolvențele pe scară largă datorate escaladării bruște a ratelor dobânzilor sau un eveniment la fel de brusc ca închiderea Strâmtorii Ormuz.</w:t>
      </w:r>
    </w:p>
    <w:p w14:paraId="4B8664F9"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În esență, toate titlurile de valoare "deținute" de public în conturi de custodie, planuri de pensii și fonduri de investiții sunt acum grevate de garanții care stau la baza complexului de instrumente derivate, care este atât de mare - cu un ordin de mărime mai mare decât întreaga economie globală - încât nu există nimic suficient în lume pentru a-l susține. Iluzia garanției colaterale este facilitată de un lanț de ipotecare și de re-ipotecare în care aceeași garanție de bază a clientului este reutilizată de mai multe ori de către o serie de creditori garantați. </w:t>
      </w:r>
    </w:p>
    <w:p w14:paraId="7DDC8A6E"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În prezent, este sigur că, în urma imploziei complexului de instrumente derivate, garanțiile vor fi măturate pe scară largă. Instalațiile necesare pentru a face acest lucru există. A fost stabilită certitudinea juridică că garanțiile pot fi luate imediat și fără control judiciar, de către entități descrise în documentele judiciare ca fiind "clasa protejată." Chiar și investitorii profesioniști sofisticați, care au fost asigurați că valorile lor mobiliare sunt "segregate", nu vor fi protejați. </w:t>
      </w:r>
    </w:p>
    <w:p w14:paraId="10B7A655"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O cantitate enormă de planificare și punere în aplicare sofisticată a fost susținută timp de decenii cu scopul de a submina drepturile de proprietate exact în acest mod. A început în Statele Unite prin modificarea Codului comercial uniform (UCC) în toate cele 50 de state. Deși acest lucru a necesitat mulți ani de efort, a putut fi realizat în liniște, fără o lege a Congresului. </w:t>
      </w:r>
    </w:p>
    <w:p w14:paraId="7074D4D5"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Acestea sunt faptele cheie: </w:t>
      </w:r>
    </w:p>
    <w:p w14:paraId="4D15D3EF" w14:textId="77777777" w:rsidR="00E757D0" w:rsidRPr="00E757D0" w:rsidRDefault="00E757D0" w:rsidP="00E757D0">
      <w:pPr>
        <w:numPr>
          <w:ilvl w:val="0"/>
          <w:numId w:val="25"/>
        </w:num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Deținerea de titluri de valoare ca proprietate a fost înlocuită cu un nou concept juridic de "drept la titlu", care este o creanță contractuală care asigură o poziție foarte slabă în cazul în care furnizorul de cont devine insolvabil. </w:t>
      </w:r>
    </w:p>
    <w:p w14:paraId="597048AC" w14:textId="77777777" w:rsidR="00E757D0" w:rsidRPr="00E757D0" w:rsidRDefault="00E757D0" w:rsidP="00E757D0">
      <w:pPr>
        <w:numPr>
          <w:ilvl w:val="0"/>
          <w:numId w:val="25"/>
        </w:num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i/>
          <w:iCs/>
          <w:kern w:val="0"/>
          <w:lang w:eastAsia="de-DE"/>
          <w14:ligatures w14:val="none"/>
        </w:rPr>
        <w:t>Toate</w:t>
      </w:r>
      <w:r w:rsidRPr="00E757D0">
        <w:rPr>
          <w:rFonts w:ascii="Times New Roman" w:eastAsia="Times New Roman" w:hAnsi="Times New Roman" w:cs="Times New Roman"/>
          <w:kern w:val="0"/>
          <w:lang w:eastAsia="de-DE"/>
          <w14:ligatures w14:val="none"/>
        </w:rPr>
        <w:t xml:space="preserve"> titlurile de valoare sunt deținute sub formă de fonduri comune nesegregate. Titlurile de valoare utilizate ca garanție și cele restricționate pentru o astfel de utilizare sunt deținute în același fond comun. </w:t>
      </w:r>
    </w:p>
    <w:p w14:paraId="43A0C7F3" w14:textId="77777777" w:rsidR="00E757D0" w:rsidRPr="00E757D0" w:rsidRDefault="00E757D0" w:rsidP="00E757D0">
      <w:pPr>
        <w:numPr>
          <w:ilvl w:val="0"/>
          <w:numId w:val="25"/>
        </w:num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i/>
          <w:iCs/>
          <w:kern w:val="0"/>
          <w:lang w:eastAsia="de-DE"/>
          <w14:ligatures w14:val="none"/>
        </w:rPr>
        <w:t>Toți</w:t>
      </w:r>
      <w:r w:rsidRPr="00E757D0">
        <w:rPr>
          <w:rFonts w:ascii="Times New Roman" w:eastAsia="Times New Roman" w:hAnsi="Times New Roman" w:cs="Times New Roman"/>
          <w:kern w:val="0"/>
          <w:lang w:eastAsia="de-DE"/>
          <w14:ligatures w14:val="none"/>
        </w:rPr>
        <w:t xml:space="preserve"> titularii de cont, inclusiv cei care au interzis utilizarea titlurilor lor de valoare ca garanție, trebuie, prin lege, să primească doar o parte pro-rata din activele reziduale. </w:t>
      </w:r>
    </w:p>
    <w:p w14:paraId="0A238A79" w14:textId="77777777" w:rsidR="00E757D0" w:rsidRPr="00E757D0" w:rsidRDefault="00E757D0" w:rsidP="00E757D0">
      <w:pPr>
        <w:numPr>
          <w:ilvl w:val="0"/>
          <w:numId w:val="25"/>
        </w:num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"Revendicarea", adică preluarea propriilor titluri de valoare în caz de insolvență, este absolut interzisă. </w:t>
      </w:r>
    </w:p>
    <w:p w14:paraId="10840B97" w14:textId="77777777" w:rsidR="00E757D0" w:rsidRPr="00E757D0" w:rsidRDefault="00E757D0" w:rsidP="00E757D0">
      <w:pPr>
        <w:numPr>
          <w:ilvl w:val="0"/>
          <w:numId w:val="25"/>
        </w:num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Furnizorii de conturi pot împrumuta în mod legal, fără restricții, titluri de valoare puse în comun pentru a garanta tranzacțiile și finanțările proprii. </w:t>
      </w:r>
    </w:p>
    <w:p w14:paraId="34BD6C35" w14:textId="77777777" w:rsidR="00E757D0" w:rsidRPr="00E757D0" w:rsidRDefault="00E757D0" w:rsidP="00E757D0">
      <w:pPr>
        <w:numPr>
          <w:ilvl w:val="0"/>
          <w:numId w:val="25"/>
        </w:num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"Safe Harbor" asigură creditorilor garantați un drept de prioritate asupra titlurilor de valoare puse în comun înaintea titularilor de cont. </w:t>
      </w:r>
    </w:p>
    <w:p w14:paraId="61ED0A9D" w14:textId="77777777" w:rsidR="00E757D0" w:rsidRPr="00E757D0" w:rsidRDefault="00E757D0" w:rsidP="00E757D0">
      <w:pPr>
        <w:numPr>
          <w:ilvl w:val="0"/>
          <w:numId w:val="25"/>
        </w:num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lastRenderedPageBreak/>
        <w:t xml:space="preserve">Pretenția prioritară absolută a creditorilor garantați asupra titlurilor de valoare ale clienților a fost confirmată de instanțe. </w:t>
      </w:r>
    </w:p>
    <w:p w14:paraId="5DBD0F50"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În 2005, cu mai puțin de doi ani înainte de declanșarea crizei financiare mondiale, dispozițiile "sferei de siguranță" din Codul falimentului din SUA au fost modificate în mod semnificativ. "Safe harbor" pare un lucru bun, dar modificarea a avut ca scop să garanteze că creditorii garantați pot lua activele clienților și că acest lucru nu poate fi contestat ulterior. Era vorba de "safe harbor" pentru creditorii garantați împotriva creanțelor clienților asupra propriilor active. </w:t>
      </w:r>
    </w:p>
    <w:p w14:paraId="39014794"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Odată cu aceste modificări ale dispozițiilor privind "sfera de siguranță", transferul activelor clienților către creditorii considerați anterior ca fiind frauduloși nu mai poate fi contestat.</w:t>
      </w:r>
    </w:p>
    <w:p w14:paraId="0123D89A"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Mai mult, este acum "legal" ca transferul activelor publicului să se facă fără plată (FoP), deoarece nu mai este necesar să se demonstreze că s-a primit o valoare echivalentă în mod rezonabil.</w:t>
      </w:r>
    </w:p>
    <w:p w14:paraId="57394BA2"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Au fost puse în aplicare sisteme complete de "gestionare a garanțiilor", care asigură transportul automat al controlului legal al garanțiilor către contrapărțile centrale de compensare (CPC), în special într-o perioadă de "stres sistemic." Anumiți creditori garantați preiau apoi garanțiile colaterale atunci când CPC dau faliment, având garanția pentru ei înșiși că preluarea activelor nu poate fi contestată "legal". </w:t>
      </w:r>
    </w:p>
    <w:p w14:paraId="4C176ED4"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Există riscul ca CPC-urile să dea faliment? Contrapartidele centrale își asumă riscul de contrapartidă între părțile la contractele de instrumente financiare derivate. În cazul în care un participant dă faliment, CPC își asumă obligațiile participantului compensator care a dat faliment. CPC combină în bilanțul său expunerile față de toți membrii compensatori. </w:t>
      </w:r>
    </w:p>
    <w:p w14:paraId="3A038C50"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Depository Trust &amp; Clearing Corporation (DTCC) administrează două CPC, ambele fiind desemnate în SUA ca fiind unități de utilitate publică de importanță sistemică pentru piețele financiare (SIFMU). La data de 31 martie 2023, capitalul total consolidat al acționarilor DTCC era de 3,5 miliarde de dolari. Aceasta este întreaga capitalizare care stă la baza Depozitarului Central de Titluri și a CCP-urilor pentru piața americană de valori mobiliare și complexul de instrumente derivate. </w:t>
      </w:r>
    </w:p>
    <w:p w14:paraId="352AB5F9"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DTCC este în mod clar subcapitalizată. Cu toate acestea, demararea unei noi CCP este planificată și prefinanțată. Această construcție asigură faptul că anumiți creditori garantați vor lua toate garanțiile asupra cărora vor avea un control legal perfecționat. </w:t>
      </w:r>
    </w:p>
    <w:p w14:paraId="4293F44A"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Obiectivul este de a utiliza toate titlurile de valoare ca garanție și, prin urmare, de a avea mijloacele practice de a lua toate titlurile de valoare ca garanție. Transformarea colateralului constă în grevarea tuturor tipurilor de titluri de valoare ale clienților în cadrul contractelor de swap( schimbare), care ajung, de asemenea, în complexul instrumentelor derivate. Acest lucru se face fără știrea clienților, care au fost făcuți să creadă că dețin în siguranță aceste titluri de valoare, și nu servește niciunui scop benefic pentru clienți. </w:t>
      </w:r>
    </w:p>
    <w:p w14:paraId="410F84C3"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b/>
          <w:bCs/>
          <w:kern w:val="0"/>
          <w:lang w:eastAsia="de-DE"/>
          <w14:ligatures w14:val="none"/>
        </w:rPr>
        <w:t>Sunt necesare măsuri urgente din partea Congresului</w:t>
      </w:r>
    </w:p>
    <w:p w14:paraId="0B650A6E"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Faptul că aceste construcții juridice sunt în vigoare în prezent este irefutabil. Explicația completă și documentația sunt furnizate într-un PDF disponibil pentru descărcare la </w:t>
      </w:r>
      <w:hyperlink r:id="rId5" w:history="1">
        <w:r w:rsidRPr="00E757D0">
          <w:rPr>
            <w:rFonts w:ascii="Times New Roman" w:eastAsia="Times New Roman" w:hAnsi="Times New Roman" w:cs="Times New Roman"/>
            <w:color w:val="0000FF"/>
            <w:kern w:val="0"/>
            <w:u w:val="single"/>
            <w:lang w:eastAsia="de-DE"/>
            <w14:ligatures w14:val="none"/>
          </w:rPr>
          <w:t>thegreattaking.com</w:t>
        </w:r>
      </w:hyperlink>
    </w:p>
    <w:p w14:paraId="3E4DCC6B"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lastRenderedPageBreak/>
        <w:t>Este nevoie urgentă de o investigație a Congresului și de remedii pentru aceste construcții juridice!</w:t>
      </w:r>
    </w:p>
    <w:p w14:paraId="49A7F006"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David Rogers Webb dwebb@verusinvestment.com 46 7600 98455 ht </w:t>
      </w:r>
      <w:hyperlink r:id="rId6" w:history="1">
        <w:r w:rsidRPr="00E757D0">
          <w:rPr>
            <w:rFonts w:ascii="Times New Roman" w:eastAsia="Times New Roman" w:hAnsi="Times New Roman" w:cs="Times New Roman"/>
            <w:color w:val="0000FF"/>
            <w:kern w:val="0"/>
            <w:u w:val="single"/>
            <w:lang w:eastAsia="de-DE"/>
            <w14:ligatures w14:val="none"/>
          </w:rPr>
          <w:t>tps://TheGreatTaking.com</w:t>
        </w:r>
      </w:hyperlink>
      <w:hyperlink r:id="rId7" w:history="1">
        <w:r w:rsidRPr="00E757D0">
          <w:rPr>
            <w:rFonts w:ascii="Times New Roman" w:eastAsia="Times New Roman" w:hAnsi="Times New Roman" w:cs="Times New Roman"/>
            <w:color w:val="0000FF"/>
            <w:kern w:val="0"/>
            <w:u w:val="single"/>
            <w:lang w:eastAsia="de-DE"/>
            <w14:ligatures w14:val="none"/>
          </w:rPr>
          <w:t xml:space="preserve"> </w:t>
        </w:r>
      </w:hyperlink>
    </w:p>
    <w:p w14:paraId="4AAFF723" w14:textId="77777777" w:rsidR="00E757D0" w:rsidRPr="00E757D0" w:rsidRDefault="00E757D0" w:rsidP="00E757D0">
      <w:pPr>
        <w:spacing w:before="100" w:beforeAutospacing="1" w:after="100" w:afterAutospacing="1"/>
        <w:rPr>
          <w:rFonts w:ascii="Times New Roman" w:eastAsia="Times New Roman" w:hAnsi="Times New Roman" w:cs="Times New Roman"/>
          <w:kern w:val="0"/>
          <w:lang w:eastAsia="de-DE"/>
          <w14:ligatures w14:val="none"/>
        </w:rPr>
      </w:pPr>
      <w:r w:rsidRPr="00E757D0">
        <w:rPr>
          <w:rFonts w:ascii="Times New Roman" w:eastAsia="Times New Roman" w:hAnsi="Times New Roman" w:cs="Times New Roman"/>
          <w:kern w:val="0"/>
          <w:lang w:eastAsia="de-DE"/>
          <w14:ligatures w14:val="none"/>
        </w:rPr>
        <w:t xml:space="preserve">Ellen Brown, J.D. ellenhbrown@gmail.com 661-252-8773 </w:t>
      </w:r>
      <w:hyperlink r:id="rId8" w:history="1">
        <w:r w:rsidRPr="00E757D0">
          <w:rPr>
            <w:rFonts w:ascii="Times New Roman" w:eastAsia="Times New Roman" w:hAnsi="Times New Roman" w:cs="Times New Roman"/>
            <w:color w:val="0000FF"/>
            <w:kern w:val="0"/>
            <w:u w:val="single"/>
            <w:lang w:eastAsia="de-DE"/>
            <w14:ligatures w14:val="none"/>
          </w:rPr>
          <w:t>EllenBrown.com</w:t>
        </w:r>
      </w:hyperlink>
    </w:p>
    <w:p w14:paraId="06447B1A" w14:textId="77777777" w:rsidR="00891C29" w:rsidRPr="00891C29" w:rsidRDefault="00891C29" w:rsidP="00891C29">
      <w:pPr>
        <w:rPr>
          <w:rFonts w:ascii="Times New Roman" w:hAnsi="Times New Roman" w:cs="Times New Roman"/>
          <w:lang w:val="en-US"/>
        </w:rPr>
      </w:pPr>
    </w:p>
    <w:sectPr w:rsidR="00891C29" w:rsidRPr="00891C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F25"/>
    <w:multiLevelType w:val="multilevel"/>
    <w:tmpl w:val="621C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878D0"/>
    <w:multiLevelType w:val="multilevel"/>
    <w:tmpl w:val="0A6C2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BD2274"/>
    <w:multiLevelType w:val="multilevel"/>
    <w:tmpl w:val="F25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B0872"/>
    <w:multiLevelType w:val="multilevel"/>
    <w:tmpl w:val="5158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B278C"/>
    <w:multiLevelType w:val="multilevel"/>
    <w:tmpl w:val="C68A1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7C84C0D"/>
    <w:multiLevelType w:val="multilevel"/>
    <w:tmpl w:val="AAD8D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82C5B05"/>
    <w:multiLevelType w:val="multilevel"/>
    <w:tmpl w:val="3E04A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C725A67"/>
    <w:multiLevelType w:val="multilevel"/>
    <w:tmpl w:val="DE948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E6FB6"/>
    <w:multiLevelType w:val="multilevel"/>
    <w:tmpl w:val="AFCCC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114A9"/>
    <w:multiLevelType w:val="multilevel"/>
    <w:tmpl w:val="78C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209BE"/>
    <w:multiLevelType w:val="multilevel"/>
    <w:tmpl w:val="BE3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904A0"/>
    <w:multiLevelType w:val="multilevel"/>
    <w:tmpl w:val="17207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CC93057"/>
    <w:multiLevelType w:val="multilevel"/>
    <w:tmpl w:val="6AF4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6419F4"/>
    <w:multiLevelType w:val="multilevel"/>
    <w:tmpl w:val="951E1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7D45970"/>
    <w:multiLevelType w:val="multilevel"/>
    <w:tmpl w:val="DCB8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F3723"/>
    <w:multiLevelType w:val="multilevel"/>
    <w:tmpl w:val="E402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85ECA"/>
    <w:multiLevelType w:val="multilevel"/>
    <w:tmpl w:val="78CCC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E415AB3"/>
    <w:multiLevelType w:val="multilevel"/>
    <w:tmpl w:val="82DEF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8C01FD"/>
    <w:multiLevelType w:val="multilevel"/>
    <w:tmpl w:val="0F0A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AB0AFB"/>
    <w:multiLevelType w:val="multilevel"/>
    <w:tmpl w:val="D056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356C7"/>
    <w:multiLevelType w:val="multilevel"/>
    <w:tmpl w:val="BCD6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21B90"/>
    <w:multiLevelType w:val="multilevel"/>
    <w:tmpl w:val="12F8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1E1EB9"/>
    <w:multiLevelType w:val="multilevel"/>
    <w:tmpl w:val="AC06D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40897"/>
    <w:multiLevelType w:val="multilevel"/>
    <w:tmpl w:val="7C28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2811B7"/>
    <w:multiLevelType w:val="multilevel"/>
    <w:tmpl w:val="8A380E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38321923">
    <w:abstractNumId w:val="18"/>
  </w:num>
  <w:num w:numId="2" w16cid:durableId="839538984">
    <w:abstractNumId w:val="1"/>
  </w:num>
  <w:num w:numId="3" w16cid:durableId="1338772187">
    <w:abstractNumId w:val="5"/>
  </w:num>
  <w:num w:numId="4" w16cid:durableId="590357597">
    <w:abstractNumId w:val="6"/>
  </w:num>
  <w:num w:numId="5" w16cid:durableId="596131645">
    <w:abstractNumId w:val="4"/>
  </w:num>
  <w:num w:numId="6" w16cid:durableId="925728381">
    <w:abstractNumId w:val="13"/>
  </w:num>
  <w:num w:numId="7" w16cid:durableId="513419583">
    <w:abstractNumId w:val="17"/>
  </w:num>
  <w:num w:numId="8" w16cid:durableId="1385065128">
    <w:abstractNumId w:val="10"/>
  </w:num>
  <w:num w:numId="9" w16cid:durableId="586228176">
    <w:abstractNumId w:val="23"/>
  </w:num>
  <w:num w:numId="10" w16cid:durableId="1853950410">
    <w:abstractNumId w:val="21"/>
  </w:num>
  <w:num w:numId="11" w16cid:durableId="1444808820">
    <w:abstractNumId w:val="8"/>
  </w:num>
  <w:num w:numId="12" w16cid:durableId="324165396">
    <w:abstractNumId w:val="0"/>
  </w:num>
  <w:num w:numId="13" w16cid:durableId="143859463">
    <w:abstractNumId w:val="15"/>
  </w:num>
  <w:num w:numId="14" w16cid:durableId="420952947">
    <w:abstractNumId w:val="2"/>
  </w:num>
  <w:num w:numId="15" w16cid:durableId="1260023143">
    <w:abstractNumId w:val="20"/>
  </w:num>
  <w:num w:numId="16" w16cid:durableId="1886868211">
    <w:abstractNumId w:val="3"/>
  </w:num>
  <w:num w:numId="17" w16cid:durableId="1686325483">
    <w:abstractNumId w:val="22"/>
  </w:num>
  <w:num w:numId="18" w16cid:durableId="1833139636">
    <w:abstractNumId w:val="7"/>
  </w:num>
  <w:num w:numId="19" w16cid:durableId="1214317836">
    <w:abstractNumId w:val="14"/>
  </w:num>
  <w:num w:numId="20" w16cid:durableId="1977297636">
    <w:abstractNumId w:val="19"/>
  </w:num>
  <w:num w:numId="21" w16cid:durableId="1656882189">
    <w:abstractNumId w:val="9"/>
  </w:num>
  <w:num w:numId="22" w16cid:durableId="1502044761">
    <w:abstractNumId w:val="16"/>
  </w:num>
  <w:num w:numId="23" w16cid:durableId="2025470852">
    <w:abstractNumId w:val="11"/>
  </w:num>
  <w:num w:numId="24" w16cid:durableId="1771193183">
    <w:abstractNumId w:val="24"/>
  </w:num>
  <w:num w:numId="25" w16cid:durableId="17021287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C8"/>
    <w:rsid w:val="001D22F4"/>
    <w:rsid w:val="002946CF"/>
    <w:rsid w:val="0031779B"/>
    <w:rsid w:val="004D6F5A"/>
    <w:rsid w:val="00601B73"/>
    <w:rsid w:val="007F73A6"/>
    <w:rsid w:val="00891C29"/>
    <w:rsid w:val="009526C8"/>
    <w:rsid w:val="00A20C4C"/>
    <w:rsid w:val="00B46D8C"/>
    <w:rsid w:val="00E23381"/>
    <w:rsid w:val="00E75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7758"/>
  <w15:chartTrackingRefBased/>
  <w15:docId w15:val="{82E4B9F3-F3EF-8243-9DB3-01718AF3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F73A6"/>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next w:val="Standard"/>
    <w:link w:val="berschrift2Zchn"/>
    <w:uiPriority w:val="9"/>
    <w:semiHidden/>
    <w:unhideWhenUsed/>
    <w:qFormat/>
    <w:rsid w:val="00A20C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526C8"/>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ervorhebung">
    <w:name w:val="Emphasis"/>
    <w:basedOn w:val="Absatz-Standardschriftart"/>
    <w:uiPriority w:val="20"/>
    <w:qFormat/>
    <w:rsid w:val="009526C8"/>
    <w:rPr>
      <w:i/>
      <w:iCs/>
    </w:rPr>
  </w:style>
  <w:style w:type="character" w:styleId="Fett">
    <w:name w:val="Strong"/>
    <w:basedOn w:val="Absatz-Standardschriftart"/>
    <w:uiPriority w:val="22"/>
    <w:qFormat/>
    <w:rsid w:val="009526C8"/>
    <w:rPr>
      <w:b/>
      <w:bCs/>
    </w:rPr>
  </w:style>
  <w:style w:type="character" w:styleId="Hyperlink">
    <w:name w:val="Hyperlink"/>
    <w:basedOn w:val="Absatz-Standardschriftart"/>
    <w:uiPriority w:val="99"/>
    <w:semiHidden/>
    <w:unhideWhenUsed/>
    <w:rsid w:val="009526C8"/>
    <w:rPr>
      <w:color w:val="0000FF"/>
      <w:u w:val="single"/>
    </w:rPr>
  </w:style>
  <w:style w:type="character" w:customStyle="1" w:styleId="berschrift1Zchn">
    <w:name w:val="Überschrift 1 Zchn"/>
    <w:basedOn w:val="Absatz-Standardschriftart"/>
    <w:link w:val="berschrift1"/>
    <w:uiPriority w:val="9"/>
    <w:rsid w:val="007F73A6"/>
    <w:rPr>
      <w:rFonts w:ascii="Times New Roman" w:eastAsia="Times New Roman" w:hAnsi="Times New Roman" w:cs="Times New Roman"/>
      <w:b/>
      <w:bCs/>
      <w:kern w:val="36"/>
      <w:sz w:val="48"/>
      <w:szCs w:val="48"/>
      <w:lang w:eastAsia="de-DE"/>
      <w14:ligatures w14:val="none"/>
    </w:rPr>
  </w:style>
  <w:style w:type="character" w:customStyle="1" w:styleId="berschrift2Zchn">
    <w:name w:val="Überschrift 2 Zchn"/>
    <w:basedOn w:val="Absatz-Standardschriftart"/>
    <w:link w:val="berschrift2"/>
    <w:uiPriority w:val="9"/>
    <w:semiHidden/>
    <w:rsid w:val="00A20C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2716">
      <w:bodyDiv w:val="1"/>
      <w:marLeft w:val="0"/>
      <w:marRight w:val="0"/>
      <w:marTop w:val="0"/>
      <w:marBottom w:val="0"/>
      <w:divBdr>
        <w:top w:val="none" w:sz="0" w:space="0" w:color="auto"/>
        <w:left w:val="none" w:sz="0" w:space="0" w:color="auto"/>
        <w:bottom w:val="none" w:sz="0" w:space="0" w:color="auto"/>
        <w:right w:val="none" w:sz="0" w:space="0" w:color="auto"/>
      </w:divBdr>
    </w:div>
    <w:div w:id="482429307">
      <w:bodyDiv w:val="1"/>
      <w:marLeft w:val="0"/>
      <w:marRight w:val="0"/>
      <w:marTop w:val="0"/>
      <w:marBottom w:val="0"/>
      <w:divBdr>
        <w:top w:val="none" w:sz="0" w:space="0" w:color="auto"/>
        <w:left w:val="none" w:sz="0" w:space="0" w:color="auto"/>
        <w:bottom w:val="none" w:sz="0" w:space="0" w:color="auto"/>
        <w:right w:val="none" w:sz="0" w:space="0" w:color="auto"/>
      </w:divBdr>
    </w:div>
    <w:div w:id="489637383">
      <w:bodyDiv w:val="1"/>
      <w:marLeft w:val="0"/>
      <w:marRight w:val="0"/>
      <w:marTop w:val="0"/>
      <w:marBottom w:val="0"/>
      <w:divBdr>
        <w:top w:val="none" w:sz="0" w:space="0" w:color="auto"/>
        <w:left w:val="none" w:sz="0" w:space="0" w:color="auto"/>
        <w:bottom w:val="none" w:sz="0" w:space="0" w:color="auto"/>
        <w:right w:val="none" w:sz="0" w:space="0" w:color="auto"/>
      </w:divBdr>
    </w:div>
    <w:div w:id="608124897">
      <w:bodyDiv w:val="1"/>
      <w:marLeft w:val="0"/>
      <w:marRight w:val="0"/>
      <w:marTop w:val="0"/>
      <w:marBottom w:val="0"/>
      <w:divBdr>
        <w:top w:val="none" w:sz="0" w:space="0" w:color="auto"/>
        <w:left w:val="none" w:sz="0" w:space="0" w:color="auto"/>
        <w:bottom w:val="none" w:sz="0" w:space="0" w:color="auto"/>
        <w:right w:val="none" w:sz="0" w:space="0" w:color="auto"/>
      </w:divBdr>
    </w:div>
    <w:div w:id="662051622">
      <w:bodyDiv w:val="1"/>
      <w:marLeft w:val="0"/>
      <w:marRight w:val="0"/>
      <w:marTop w:val="0"/>
      <w:marBottom w:val="0"/>
      <w:divBdr>
        <w:top w:val="none" w:sz="0" w:space="0" w:color="auto"/>
        <w:left w:val="none" w:sz="0" w:space="0" w:color="auto"/>
        <w:bottom w:val="none" w:sz="0" w:space="0" w:color="auto"/>
        <w:right w:val="none" w:sz="0" w:space="0" w:color="auto"/>
      </w:divBdr>
    </w:div>
    <w:div w:id="675495442">
      <w:bodyDiv w:val="1"/>
      <w:marLeft w:val="0"/>
      <w:marRight w:val="0"/>
      <w:marTop w:val="0"/>
      <w:marBottom w:val="0"/>
      <w:divBdr>
        <w:top w:val="none" w:sz="0" w:space="0" w:color="auto"/>
        <w:left w:val="none" w:sz="0" w:space="0" w:color="auto"/>
        <w:bottom w:val="none" w:sz="0" w:space="0" w:color="auto"/>
        <w:right w:val="none" w:sz="0" w:space="0" w:color="auto"/>
      </w:divBdr>
    </w:div>
    <w:div w:id="1002661662">
      <w:bodyDiv w:val="1"/>
      <w:marLeft w:val="0"/>
      <w:marRight w:val="0"/>
      <w:marTop w:val="0"/>
      <w:marBottom w:val="0"/>
      <w:divBdr>
        <w:top w:val="none" w:sz="0" w:space="0" w:color="auto"/>
        <w:left w:val="none" w:sz="0" w:space="0" w:color="auto"/>
        <w:bottom w:val="none" w:sz="0" w:space="0" w:color="auto"/>
        <w:right w:val="none" w:sz="0" w:space="0" w:color="auto"/>
      </w:divBdr>
    </w:div>
    <w:div w:id="1010106663">
      <w:bodyDiv w:val="1"/>
      <w:marLeft w:val="0"/>
      <w:marRight w:val="0"/>
      <w:marTop w:val="0"/>
      <w:marBottom w:val="0"/>
      <w:divBdr>
        <w:top w:val="none" w:sz="0" w:space="0" w:color="auto"/>
        <w:left w:val="none" w:sz="0" w:space="0" w:color="auto"/>
        <w:bottom w:val="none" w:sz="0" w:space="0" w:color="auto"/>
        <w:right w:val="none" w:sz="0" w:space="0" w:color="auto"/>
      </w:divBdr>
    </w:div>
    <w:div w:id="1084298644">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251886217">
      <w:bodyDiv w:val="1"/>
      <w:marLeft w:val="0"/>
      <w:marRight w:val="0"/>
      <w:marTop w:val="0"/>
      <w:marBottom w:val="0"/>
      <w:divBdr>
        <w:top w:val="none" w:sz="0" w:space="0" w:color="auto"/>
        <w:left w:val="none" w:sz="0" w:space="0" w:color="auto"/>
        <w:bottom w:val="none" w:sz="0" w:space="0" w:color="auto"/>
        <w:right w:val="none" w:sz="0" w:space="0" w:color="auto"/>
      </w:divBdr>
    </w:div>
    <w:div w:id="1334063032">
      <w:bodyDiv w:val="1"/>
      <w:marLeft w:val="0"/>
      <w:marRight w:val="0"/>
      <w:marTop w:val="0"/>
      <w:marBottom w:val="0"/>
      <w:divBdr>
        <w:top w:val="none" w:sz="0" w:space="0" w:color="auto"/>
        <w:left w:val="none" w:sz="0" w:space="0" w:color="auto"/>
        <w:bottom w:val="none" w:sz="0" w:space="0" w:color="auto"/>
        <w:right w:val="none" w:sz="0" w:space="0" w:color="auto"/>
      </w:divBdr>
    </w:div>
    <w:div w:id="1409617476">
      <w:bodyDiv w:val="1"/>
      <w:marLeft w:val="0"/>
      <w:marRight w:val="0"/>
      <w:marTop w:val="0"/>
      <w:marBottom w:val="0"/>
      <w:divBdr>
        <w:top w:val="none" w:sz="0" w:space="0" w:color="auto"/>
        <w:left w:val="none" w:sz="0" w:space="0" w:color="auto"/>
        <w:bottom w:val="none" w:sz="0" w:space="0" w:color="auto"/>
        <w:right w:val="none" w:sz="0" w:space="0" w:color="auto"/>
      </w:divBdr>
    </w:div>
    <w:div w:id="1745449244">
      <w:bodyDiv w:val="1"/>
      <w:marLeft w:val="0"/>
      <w:marRight w:val="0"/>
      <w:marTop w:val="0"/>
      <w:marBottom w:val="0"/>
      <w:divBdr>
        <w:top w:val="none" w:sz="0" w:space="0" w:color="auto"/>
        <w:left w:val="none" w:sz="0" w:space="0" w:color="auto"/>
        <w:bottom w:val="none" w:sz="0" w:space="0" w:color="auto"/>
        <w:right w:val="none" w:sz="0" w:space="0" w:color="auto"/>
      </w:divBdr>
    </w:div>
    <w:div w:id="1898003740">
      <w:bodyDiv w:val="1"/>
      <w:marLeft w:val="0"/>
      <w:marRight w:val="0"/>
      <w:marTop w:val="0"/>
      <w:marBottom w:val="0"/>
      <w:divBdr>
        <w:top w:val="none" w:sz="0" w:space="0" w:color="auto"/>
        <w:left w:val="none" w:sz="0" w:space="0" w:color="auto"/>
        <w:bottom w:val="none" w:sz="0" w:space="0" w:color="auto"/>
        <w:right w:val="none" w:sz="0" w:space="0" w:color="auto"/>
      </w:divBdr>
    </w:div>
    <w:div w:id="2002463651">
      <w:bodyDiv w:val="1"/>
      <w:marLeft w:val="0"/>
      <w:marRight w:val="0"/>
      <w:marTop w:val="0"/>
      <w:marBottom w:val="0"/>
      <w:divBdr>
        <w:top w:val="none" w:sz="0" w:space="0" w:color="auto"/>
        <w:left w:val="none" w:sz="0" w:space="0" w:color="auto"/>
        <w:bottom w:val="none" w:sz="0" w:space="0" w:color="auto"/>
        <w:right w:val="none" w:sz="0" w:space="0" w:color="auto"/>
      </w:divBdr>
    </w:div>
    <w:div w:id="20602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lenbrown.com/" TargetMode="External"/><Relationship Id="rId3" Type="http://schemas.openxmlformats.org/officeDocument/2006/relationships/settings" Target="settings.xml"/><Relationship Id="rId7" Type="http://schemas.openxmlformats.org/officeDocument/2006/relationships/hyperlink" Target="https://thegreattak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greattaking.com/" TargetMode="External"/><Relationship Id="rId5" Type="http://schemas.openxmlformats.org/officeDocument/2006/relationships/hyperlink" Target="http://thegreattak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5841</Characters>
  <Application>Microsoft Office Word</Application>
  <DocSecurity>0</DocSecurity>
  <Lines>48</Lines>
  <Paragraphs>13</Paragraphs>
  <ScaleCrop>false</ScaleCrop>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Jutta Degner</cp:lastModifiedBy>
  <cp:revision>2</cp:revision>
  <dcterms:created xsi:type="dcterms:W3CDTF">2023-11-18T09:53:00Z</dcterms:created>
  <dcterms:modified xsi:type="dcterms:W3CDTF">2023-11-18T09:53:00Z</dcterms:modified>
</cp:coreProperties>
</file>