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Bodoni SvtyTwo ITC TT-Bold" w:cs="Bodoni SvtyTwo ITC TT-Bold" w:hAnsi="Bodoni SvtyTwo ITC TT-Bold" w:eastAsia="Bodoni SvtyTwo ITC TT-Bold"/>
          <w:sz w:val="24"/>
          <w:szCs w:val="24"/>
        </w:rPr>
      </w:pPr>
      <w:r>
        <w:rPr>
          <w:rFonts w:ascii="Bodoni SvtyTwo ITC TT-Bold" w:hAnsi="Bodoni SvtyTwo ITC TT-Bold"/>
          <w:sz w:val="24"/>
          <w:szCs w:val="24"/>
          <w:rtl w:val="0"/>
          <w:lang w:val="es-ES_tradnl"/>
        </w:rPr>
        <w:t>Lo que los pa</w:t>
      </w:r>
      <w:r>
        <w:rPr>
          <w:rFonts w:ascii="Bodoni SvtyTwo ITC TT-Bold" w:hAnsi="Bodoni SvtyTwo ITC TT-Bold" w:hint="default"/>
          <w:sz w:val="24"/>
          <w:szCs w:val="24"/>
          <w:rtl w:val="0"/>
        </w:rPr>
        <w:t>í</w:t>
      </w:r>
      <w:r>
        <w:rPr>
          <w:rFonts w:ascii="Bodoni SvtyTwo ITC TT-Bold" w:hAnsi="Bodoni SvtyTwo ITC TT-Bold"/>
          <w:sz w:val="24"/>
          <w:szCs w:val="24"/>
          <w:rtl w:val="0"/>
          <w:lang w:val="es-ES_tradnl"/>
        </w:rPr>
        <w:t>ses pueden hacer ahora mismo para frenar el golpe global de la OMS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Las enmiendas propuestas al Reglamento Sanitario Internacional de la OMS y una propuesta de Tratado/Acuerdo/Acuerdo/CA+ sobre Pandemias (se le han dado muchos nombres) se han creado como medio para transferir la gesti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y el control de las pandemias u otras emergencias sanitarias de los Estados naci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 xml:space="preserve">n a la OMS. Los documentos propuestos obligan a las naciones a imponer la censura, utilizando </w:t>
      </w:r>
      <w:r>
        <w:rPr>
          <w:rFonts w:ascii="Bodoni SvtyTwo ITC TT-Book" w:hAnsi="Bodoni SvtyTwo ITC TT-Book" w:hint="default"/>
          <w:sz w:val="24"/>
          <w:szCs w:val="24"/>
          <w:rtl w:val="0"/>
        </w:rPr>
        <w:t>ú</w:t>
      </w:r>
      <w:r>
        <w:rPr>
          <w:rFonts w:ascii="Bodoni SvtyTwo ITC TT-Book" w:hAnsi="Bodoni SvtyTwo ITC TT-Book"/>
          <w:sz w:val="24"/>
          <w:szCs w:val="24"/>
          <w:rtl w:val="0"/>
          <w:lang w:val="es-ES_tradnl"/>
        </w:rPr>
        <w:t>nicamente la narrativa de salud p</w:t>
      </w:r>
      <w:r>
        <w:rPr>
          <w:rFonts w:ascii="Bodoni SvtyTwo ITC TT-Book" w:hAnsi="Bodoni SvtyTwo ITC TT-Book" w:hint="default"/>
          <w:sz w:val="24"/>
          <w:szCs w:val="24"/>
          <w:rtl w:val="0"/>
        </w:rPr>
        <w:t>ú</w:t>
      </w:r>
      <w:r>
        <w:rPr>
          <w:rFonts w:ascii="Bodoni SvtyTwo ITC TT-Book" w:hAnsi="Bodoni SvtyTwo ITC TT-Book"/>
          <w:sz w:val="24"/>
          <w:szCs w:val="24"/>
          <w:rtl w:val="0"/>
          <w:lang w:val="es-ES_tradnl"/>
        </w:rPr>
        <w:t xml:space="preserve">blica de la OMS, y otorgan a </w:t>
      </w:r>
      <w:r>
        <w:rPr>
          <w:rFonts w:ascii="Bodoni SvtyTwo ITC TT-Book" w:hAnsi="Bodoni SvtyTwo ITC TT-Book" w:hint="default"/>
          <w:sz w:val="24"/>
          <w:szCs w:val="24"/>
          <w:rtl w:val="0"/>
          <w:lang w:val="fr-FR"/>
        </w:rPr>
        <w:t>é</w:t>
      </w:r>
      <w:r>
        <w:rPr>
          <w:rFonts w:ascii="Bodoni SvtyTwo ITC TT-Book" w:hAnsi="Bodoni SvtyTwo ITC TT-Book"/>
          <w:sz w:val="24"/>
          <w:szCs w:val="24"/>
          <w:rtl w:val="0"/>
          <w:lang w:val="pt-PT"/>
        </w:rPr>
        <w:t>sta amplios poderes para controlar qu</w:t>
      </w:r>
      <w:r>
        <w:rPr>
          <w:rFonts w:ascii="Bodoni SvtyTwo ITC TT-Book" w:hAnsi="Bodoni SvtyTwo ITC TT-Book" w:hint="default"/>
          <w:sz w:val="24"/>
          <w:szCs w:val="24"/>
          <w:rtl w:val="0"/>
          <w:lang w:val="fr-FR"/>
        </w:rPr>
        <w:t xml:space="preserve">é </w:t>
      </w:r>
      <w:r>
        <w:rPr>
          <w:rFonts w:ascii="Bodoni SvtyTwo ITC TT-Book" w:hAnsi="Bodoni SvtyTwo ITC TT-Book"/>
          <w:sz w:val="24"/>
          <w:szCs w:val="24"/>
          <w:rtl w:val="0"/>
          <w:lang w:val="es-ES_tradnl"/>
        </w:rPr>
        <w:t>medicamentos pueden utilizarse y cu</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les pueden suprimirse; controlar el r</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pido desarrollo, fabricaci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y despliegue de vacunas; crear escudos de responsabilidad para estos productos; controlar los viajes en las fronteras; exigir pasaportes de vacunaci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y gestionar otros aspectos de la vida que a</w:t>
      </w:r>
      <w:r>
        <w:rPr>
          <w:rFonts w:ascii="Bodoni SvtyTwo ITC TT-Book" w:hAnsi="Bodoni SvtyTwo ITC TT-Book" w:hint="default"/>
          <w:sz w:val="24"/>
          <w:szCs w:val="24"/>
          <w:rtl w:val="0"/>
        </w:rPr>
        <w:t>ú</w:t>
      </w:r>
      <w:r>
        <w:rPr>
          <w:rFonts w:ascii="Bodoni SvtyTwo ITC TT-Book" w:hAnsi="Bodoni SvtyTwo ITC TT-Book"/>
          <w:sz w:val="24"/>
          <w:szCs w:val="24"/>
          <w:rtl w:val="0"/>
          <w:lang w:val="es-ES_tradnl"/>
        </w:rPr>
        <w:t>n est</w:t>
      </w:r>
      <w:r>
        <w:rPr>
          <w:rFonts w:ascii="Bodoni SvtyTwo ITC TT-Book" w:hAnsi="Bodoni SvtyTwo ITC TT-Book" w:hint="default"/>
          <w:sz w:val="24"/>
          <w:szCs w:val="24"/>
          <w:rtl w:val="0"/>
        </w:rPr>
        <w:t>á</w:t>
      </w:r>
      <w:r>
        <w:rPr>
          <w:rFonts w:ascii="Bodoni SvtyTwo ITC TT-Book" w:hAnsi="Bodoni SvtyTwo ITC TT-Book"/>
          <w:sz w:val="24"/>
          <w:szCs w:val="24"/>
          <w:rtl w:val="0"/>
          <w:lang w:val="pt-PT"/>
        </w:rPr>
        <w:t>n por determinar.</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En mayo de 2022 se aprobaron las enmiendas que Estados Unidos hab</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 sugerido al Reglamento Sanitario Internacional de la OMS, lo que acelerar</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la adopci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de futuras enmiendas. Esto se acord</w:t>
      </w:r>
      <w:r>
        <w:rPr>
          <w:rFonts w:ascii="Bodoni SvtyTwo ITC TT-Book" w:hAnsi="Bodoni SvtyTwo ITC TT-Book" w:hint="default"/>
          <w:sz w:val="24"/>
          <w:szCs w:val="24"/>
          <w:rtl w:val="0"/>
        </w:rPr>
        <w:t xml:space="preserve">ó </w:t>
      </w:r>
      <w:r>
        <w:rPr>
          <w:rFonts w:ascii="Bodoni SvtyTwo ITC TT-Book" w:hAnsi="Bodoni SvtyTwo ITC TT-Book"/>
          <w:sz w:val="24"/>
          <w:szCs w:val="24"/>
          <w:rtl w:val="0"/>
          <w:lang w:val="es-ES_tradnl"/>
        </w:rPr>
        <w:t>en la trastienda de la reuni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anual de 2022 de la Asamblea Mundial de la Salud, y no hubo votaci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it-IT"/>
        </w:rPr>
        <w:t>n formal. La decisi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rPr>
        <w:t>n se tom</w:t>
      </w:r>
      <w:r>
        <w:rPr>
          <w:rFonts w:ascii="Bodoni SvtyTwo ITC TT-Book" w:hAnsi="Bodoni SvtyTwo ITC TT-Book" w:hint="default"/>
          <w:sz w:val="24"/>
          <w:szCs w:val="24"/>
          <w:rtl w:val="0"/>
        </w:rPr>
        <w:t xml:space="preserve">ó </w:t>
      </w:r>
      <w:r>
        <w:rPr>
          <w:rFonts w:ascii="Bodoni SvtyTwo ITC TT-Book" w:hAnsi="Bodoni SvtyTwo ITC TT-Book"/>
          <w:sz w:val="24"/>
          <w:szCs w:val="24"/>
          <w:rtl w:val="0"/>
          <w:lang w:val="es-ES_tradnl"/>
        </w:rPr>
        <w:t>por "consenso" al no oponerse ning</w:t>
      </w:r>
      <w:r>
        <w:rPr>
          <w:rFonts w:ascii="Bodoni SvtyTwo ITC TT-Book" w:hAnsi="Bodoni SvtyTwo ITC TT-Book" w:hint="default"/>
          <w:sz w:val="24"/>
          <w:szCs w:val="24"/>
          <w:rtl w:val="0"/>
        </w:rPr>
        <w:t>ú</w:t>
      </w:r>
      <w:r>
        <w:rPr>
          <w:rFonts w:ascii="Bodoni SvtyTwo ITC TT-Book" w:hAnsi="Bodoni SvtyTwo ITC TT-Book"/>
          <w:sz w:val="24"/>
          <w:szCs w:val="24"/>
          <w:rtl w:val="0"/>
        </w:rPr>
        <w:t>n pa</w:t>
      </w:r>
      <w:r>
        <w:rPr>
          <w:rFonts w:ascii="Bodoni SvtyTwo ITC TT-Book" w:hAnsi="Bodoni SvtyTwo ITC TT-Book" w:hint="default"/>
          <w:sz w:val="24"/>
          <w:szCs w:val="24"/>
          <w:rtl w:val="0"/>
        </w:rPr>
        <w:t>í</w:t>
      </w:r>
      <w:r>
        <w:rPr>
          <w:rFonts w:ascii="Bodoni SvtyTwo ITC TT-Book" w:hAnsi="Bodoni SvtyTwo ITC TT-Book"/>
          <w:sz w:val="24"/>
          <w:szCs w:val="24"/>
          <w:rtl w:val="0"/>
          <w:lang w:val="pt-PT"/>
        </w:rPr>
        <w:t>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Las enmiendas adoptadas en 2022 siguen sujetas a las antiguas normas, hasta que entren en vigor las nuevas enmiendas en mayo de 2024.</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Las antiguas normas establec</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an que las enmiendas entrar</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an en vigor 24 meses despu</w:t>
      </w:r>
      <w:r>
        <w:rPr>
          <w:rFonts w:ascii="Bodoni SvtyTwo ITC TT-Book" w:hAnsi="Bodoni SvtyTwo ITC TT-Book" w:hint="default"/>
          <w:sz w:val="24"/>
          <w:szCs w:val="24"/>
          <w:rtl w:val="0"/>
          <w:lang w:val="fr-FR"/>
        </w:rPr>
        <w:t>é</w:t>
      </w:r>
      <w:r>
        <w:rPr>
          <w:rFonts w:ascii="Bodoni SvtyTwo ITC TT-Book" w:hAnsi="Bodoni SvtyTwo ITC TT-Book"/>
          <w:sz w:val="24"/>
          <w:szCs w:val="24"/>
          <w:rtl w:val="0"/>
          <w:lang w:val="es-ES_tradnl"/>
        </w:rPr>
        <w:t>s de su aceptaci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y las naciones dispon</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an de un periodo de 18 meses tras la aceptaci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para "excluirse" formalmente de las nuevas enmiendas. Las naciones que se "excluyeran" estar</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an sujetas a la versi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antigua del Reglamento Sanitario Internacional en lugar de a la nueva. Las enmiendas adoptadas en mayo de 2022 dieron a las naciones s</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lo 10 meses para "excluirse", no 18 meses, y hacen que las nuevas enmiendas entren en vigor despu</w:t>
      </w:r>
      <w:r>
        <w:rPr>
          <w:rFonts w:ascii="Bodoni SvtyTwo ITC TT-Book" w:hAnsi="Bodoni SvtyTwo ITC TT-Book" w:hint="default"/>
          <w:sz w:val="24"/>
          <w:szCs w:val="24"/>
          <w:rtl w:val="0"/>
          <w:lang w:val="fr-FR"/>
        </w:rPr>
        <w:t>é</w:t>
      </w:r>
      <w:r>
        <w:rPr>
          <w:rFonts w:ascii="Bodoni SvtyTwo ITC TT-Book" w:hAnsi="Bodoni SvtyTwo ITC TT-Book"/>
          <w:sz w:val="24"/>
          <w:szCs w:val="24"/>
          <w:rtl w:val="0"/>
          <w:lang w:val="fr-FR"/>
        </w:rPr>
        <w:t>s de s</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pt-PT"/>
        </w:rPr>
        <w:t>lo 12 meses, no 24 meses.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Estos nuevos plazos se aplicar</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n a las enmiendas que se estudien en mayo de 2024. Sin embargo, seg</w:t>
      </w:r>
      <w:r>
        <w:rPr>
          <w:rFonts w:ascii="Bodoni SvtyTwo ITC TT-Book" w:hAnsi="Bodoni SvtyTwo ITC TT-Book" w:hint="default"/>
          <w:sz w:val="24"/>
          <w:szCs w:val="24"/>
          <w:rtl w:val="0"/>
        </w:rPr>
        <w:t>ú</w:t>
      </w:r>
      <w:r>
        <w:rPr>
          <w:rFonts w:ascii="Bodoni SvtyTwo ITC TT-Book" w:hAnsi="Bodoni SvtyTwo ITC TT-Book"/>
          <w:sz w:val="24"/>
          <w:szCs w:val="24"/>
          <w:rtl w:val="0"/>
          <w:lang w:val="es-ES_tradnl"/>
        </w:rPr>
        <w:t>n las normas existentes que a</w:t>
      </w:r>
      <w:r>
        <w:rPr>
          <w:rFonts w:ascii="Bodoni SvtyTwo ITC TT-Book" w:hAnsi="Bodoni SvtyTwo ITC TT-Book" w:hint="default"/>
          <w:sz w:val="24"/>
          <w:szCs w:val="24"/>
          <w:rtl w:val="0"/>
        </w:rPr>
        <w:t>ú</w:t>
      </w:r>
      <w:r>
        <w:rPr>
          <w:rFonts w:ascii="Bodoni SvtyTwo ITC TT-Book" w:hAnsi="Bodoni SvtyTwo ITC TT-Book"/>
          <w:sz w:val="24"/>
          <w:szCs w:val="24"/>
          <w:rtl w:val="0"/>
          <w:lang w:val="es-ES_tradnl"/>
        </w:rPr>
        <w:t>n est</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 xml:space="preserve">n en vigor, </w:t>
      </w:r>
      <w:r>
        <w:rPr>
          <w:rFonts w:ascii="Bodoni SvtyTwo ITC TT-BookIta" w:hAnsi="Bodoni SvtyTwo ITC TT-BookIta"/>
          <w:sz w:val="24"/>
          <w:szCs w:val="24"/>
          <w:rtl w:val="0"/>
          <w:lang w:val="es-ES_tradnl"/>
        </w:rPr>
        <w:t>las naciones tienen hasta finales de noviembre de 2023 para optar por las enmiendas de 2022 que aceleran la adopci</w:t>
      </w:r>
      <w:r>
        <w:rPr>
          <w:rFonts w:ascii="Bodoni SvtyTwo ITC TT-BookIta" w:hAnsi="Bodoni SvtyTwo ITC TT-BookIta" w:hint="default"/>
          <w:sz w:val="24"/>
          <w:szCs w:val="24"/>
          <w:rtl w:val="0"/>
          <w:lang w:val="es-ES_tradnl"/>
        </w:rPr>
        <w:t>ó</w:t>
      </w:r>
      <w:r>
        <w:rPr>
          <w:rFonts w:ascii="Bodoni SvtyTwo ITC TT-BookIta" w:hAnsi="Bodoni SvtyTwo ITC TT-BookIta"/>
          <w:sz w:val="24"/>
          <w:szCs w:val="24"/>
          <w:rtl w:val="0"/>
          <w:lang w:val="es-ES_tradnl"/>
        </w:rPr>
        <w:t>n de futuras enmiendas,</w:t>
      </w:r>
      <w:r>
        <w:rPr>
          <w:rFonts w:ascii="Bodoni SvtyTwo ITC TT-Book" w:hAnsi="Bodoni SvtyTwo ITC TT-Book"/>
          <w:sz w:val="24"/>
          <w:szCs w:val="24"/>
          <w:rtl w:val="0"/>
          <w:lang w:val="es-ES_tradnl"/>
        </w:rPr>
        <w:t xml:space="preserve"> lo que supone 18 meses despu</w:t>
      </w:r>
      <w:r>
        <w:rPr>
          <w:rFonts w:ascii="Bodoni SvtyTwo ITC TT-Book" w:hAnsi="Bodoni SvtyTwo ITC TT-Book" w:hint="default"/>
          <w:sz w:val="24"/>
          <w:szCs w:val="24"/>
          <w:rtl w:val="0"/>
          <w:lang w:val="fr-FR"/>
        </w:rPr>
        <w:t>é</w:t>
      </w:r>
      <w:r>
        <w:rPr>
          <w:rFonts w:ascii="Bodoni SvtyTwo ITC TT-Book" w:hAnsi="Bodoni SvtyTwo ITC TT-Book"/>
          <w:sz w:val="24"/>
          <w:szCs w:val="24"/>
          <w:rtl w:val="0"/>
          <w:lang w:val="es-ES_tradnl"/>
        </w:rPr>
        <w:t>s de mayo de 2022, o hasta finales de noviembre de 2023.</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ld" w:cs="Bodoni SvtyTwo ITC TT-Bold" w:hAnsi="Bodoni SvtyTwo ITC TT-Bold" w:eastAsia="Bodoni SvtyTwo ITC TT-Bold"/>
          <w:sz w:val="24"/>
          <w:szCs w:val="24"/>
        </w:rPr>
      </w:pPr>
      <w:r>
        <w:rPr>
          <w:rFonts w:ascii="Bodoni SvtyTwo ITC TT-Bold" w:hAnsi="Bodoni SvtyTwo ITC TT-Bold"/>
          <w:sz w:val="24"/>
          <w:szCs w:val="24"/>
          <w:rtl w:val="0"/>
          <w:lang w:val="es-ES_tradnl"/>
        </w:rPr>
        <w:t>Los pa</w:t>
      </w:r>
      <w:r>
        <w:rPr>
          <w:rFonts w:ascii="Bodoni SvtyTwo ITC TT-Bold" w:hAnsi="Bodoni SvtyTwo ITC TT-Bold" w:hint="default"/>
          <w:sz w:val="24"/>
          <w:szCs w:val="24"/>
          <w:rtl w:val="0"/>
        </w:rPr>
        <w:t>í</w:t>
      </w:r>
      <w:r>
        <w:rPr>
          <w:rFonts w:ascii="Bodoni SvtyTwo ITC TT-Bold" w:hAnsi="Bodoni SvtyTwo ITC TT-Bold"/>
          <w:sz w:val="24"/>
          <w:szCs w:val="24"/>
          <w:rtl w:val="0"/>
          <w:lang w:val="es-ES_tradnl"/>
        </w:rPr>
        <w:t>ses que env</w:t>
      </w:r>
      <w:r>
        <w:rPr>
          <w:rFonts w:ascii="Bodoni SvtyTwo ITC TT-Bold" w:hAnsi="Bodoni SvtyTwo ITC TT-Bold" w:hint="default"/>
          <w:sz w:val="24"/>
          <w:szCs w:val="24"/>
          <w:rtl w:val="0"/>
        </w:rPr>
        <w:t>í</w:t>
      </w:r>
      <w:r>
        <w:rPr>
          <w:rFonts w:ascii="Bodoni SvtyTwo ITC TT-Bold" w:hAnsi="Bodoni SvtyTwo ITC TT-Bold"/>
          <w:sz w:val="24"/>
          <w:szCs w:val="24"/>
          <w:rtl w:val="0"/>
          <w:lang w:val="es-ES_tradnl"/>
        </w:rPr>
        <w:t>en a la OMS una exclusi</w:t>
      </w:r>
      <w:r>
        <w:rPr>
          <w:rFonts w:ascii="Bodoni SvtyTwo ITC TT-Bold" w:hAnsi="Bodoni SvtyTwo ITC TT-Bold" w:hint="default"/>
          <w:sz w:val="24"/>
          <w:szCs w:val="24"/>
          <w:rtl w:val="0"/>
          <w:lang w:val="es-ES_tradnl"/>
        </w:rPr>
        <w:t>ó</w:t>
      </w:r>
      <w:r>
        <w:rPr>
          <w:rFonts w:ascii="Bodoni SvtyTwo ITC TT-Bold" w:hAnsi="Bodoni SvtyTwo ITC TT-Bold"/>
          <w:sz w:val="24"/>
          <w:szCs w:val="24"/>
          <w:rtl w:val="0"/>
          <w:lang w:val="es-ES_tradnl"/>
        </w:rPr>
        <w:t>n formal muy breve (incluso de una frase) en relaci</w:t>
      </w:r>
      <w:r>
        <w:rPr>
          <w:rFonts w:ascii="Bodoni SvtyTwo ITC TT-Bold" w:hAnsi="Bodoni SvtyTwo ITC TT-Bold" w:hint="default"/>
          <w:sz w:val="24"/>
          <w:szCs w:val="24"/>
          <w:rtl w:val="0"/>
          <w:lang w:val="es-ES_tradnl"/>
        </w:rPr>
        <w:t>ó</w:t>
      </w:r>
      <w:r>
        <w:rPr>
          <w:rFonts w:ascii="Bodoni SvtyTwo ITC TT-Bold" w:hAnsi="Bodoni SvtyTwo ITC TT-Bold"/>
          <w:sz w:val="24"/>
          <w:szCs w:val="24"/>
          <w:rtl w:val="0"/>
          <w:lang w:val="es-ES_tradnl"/>
        </w:rPr>
        <w:t>n con las enmiendas de mayo de 2022 seguir</w:t>
      </w:r>
      <w:r>
        <w:rPr>
          <w:rFonts w:ascii="Bodoni SvtyTwo ITC TT-Bold" w:hAnsi="Bodoni SvtyTwo ITC TT-Bold" w:hint="default"/>
          <w:sz w:val="24"/>
          <w:szCs w:val="24"/>
          <w:rtl w:val="0"/>
        </w:rPr>
        <w:t>á</w:t>
      </w:r>
      <w:r>
        <w:rPr>
          <w:rFonts w:ascii="Bodoni SvtyTwo ITC TT-Bold" w:hAnsi="Bodoni SvtyTwo ITC TT-Bold"/>
          <w:sz w:val="24"/>
          <w:szCs w:val="24"/>
          <w:rtl w:val="0"/>
          <w:lang w:val="es-ES_tradnl"/>
        </w:rPr>
        <w:t>n teniendo 18 meses (no 10) para excluirse de futuras enmiendas, y 24 meses despu</w:t>
      </w:r>
      <w:r>
        <w:rPr>
          <w:rFonts w:ascii="Bodoni SvtyTwo ITC TT-Bold" w:hAnsi="Bodoni SvtyTwo ITC TT-Bold" w:hint="default"/>
          <w:sz w:val="24"/>
          <w:szCs w:val="24"/>
          <w:rtl w:val="0"/>
          <w:lang w:val="fr-FR"/>
        </w:rPr>
        <w:t>é</w:t>
      </w:r>
      <w:r>
        <w:rPr>
          <w:rFonts w:ascii="Bodoni SvtyTwo ITC TT-Bold" w:hAnsi="Bodoni SvtyTwo ITC TT-Bold"/>
          <w:sz w:val="24"/>
          <w:szCs w:val="24"/>
          <w:rtl w:val="0"/>
          <w:lang w:val="es-ES_tradnl"/>
        </w:rPr>
        <w:t>s de que se adopten, no 12, antes de que cualquier enmienda futura se aplique a su pa</w:t>
      </w:r>
      <w:r>
        <w:rPr>
          <w:rFonts w:ascii="Bodoni SvtyTwo ITC TT-Bold" w:hAnsi="Bodoni SvtyTwo ITC TT-Bold" w:hint="default"/>
          <w:sz w:val="24"/>
          <w:szCs w:val="24"/>
          <w:rtl w:val="0"/>
        </w:rPr>
        <w:t>í</w:t>
      </w:r>
      <w:r>
        <w:rPr>
          <w:rFonts w:ascii="Bodoni SvtyTwo ITC TT-Bold" w:hAnsi="Bodoni SvtyTwo ITC TT-Bold"/>
          <w:sz w:val="24"/>
          <w:szCs w:val="24"/>
          <w:rtl w:val="0"/>
          <w:lang w:val="pt-PT"/>
        </w:rPr>
        <w:t>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Esto ralentizar</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la entrada en vigor de las enmiendas que prevemos que se aprobar</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n en mayo de 2024, ya que su aprobaci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rPr>
        <w:t>n s</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lo requiere el 50% m</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s uno de los votos de las 194 naciones miembros de la Asamblea Mundial de la Salud. En lugar de entrar en vigor para las naciones en mayo de 2025, no lo har</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n hasta mayo de 2026. Adem</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s, los pa</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ses que no se adhieran a las enmiendas de 2022 dispondr</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n de 8 meses m</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s (de 10 a 18 meses) para no adherirse a futuras enmiendas, una vez aprobadas.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es-ES_tradnl"/>
        </w:rPr>
        <w:t>Adem</w:t>
      </w:r>
      <w:r>
        <w:rPr>
          <w:rFonts w:ascii="Bodoni SvtyTwo ITC TT-Book" w:hAnsi="Bodoni SvtyTwo ITC TT-Book" w:hint="default"/>
          <w:sz w:val="24"/>
          <w:szCs w:val="24"/>
          <w:rtl w:val="0"/>
        </w:rPr>
        <w:t>á</w:t>
      </w:r>
      <w:r>
        <w:rPr>
          <w:rFonts w:ascii="Bodoni SvtyTwo ITC TT-Book" w:hAnsi="Bodoni SvtyTwo ITC TT-Book"/>
          <w:sz w:val="24"/>
          <w:szCs w:val="24"/>
          <w:rtl w:val="0"/>
          <w:lang w:val="es-ES_tradnl"/>
        </w:rPr>
        <w:t>s de ralentizar la "velocidad de v</w:t>
      </w:r>
      <w:r>
        <w:rPr>
          <w:rFonts w:ascii="Bodoni SvtyTwo ITC TT-Book" w:hAnsi="Bodoni SvtyTwo ITC TT-Book" w:hint="default"/>
          <w:sz w:val="24"/>
          <w:szCs w:val="24"/>
          <w:rtl w:val="0"/>
          <w:lang w:val="fr-FR"/>
        </w:rPr>
        <w:t>é</w:t>
      </w:r>
      <w:r>
        <w:rPr>
          <w:rFonts w:ascii="Bodoni SvtyTwo ITC TT-Book" w:hAnsi="Bodoni SvtyTwo ITC TT-Book"/>
          <w:sz w:val="24"/>
          <w:szCs w:val="24"/>
          <w:rtl w:val="0"/>
          <w:lang w:val="es-ES_tradnl"/>
        </w:rPr>
        <w:t>rtigo" a la que la OMS est</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tratando de ganar soberan</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 sobre la salud y la gesti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de emergencias de los pa</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ses, la exclusi</w:t>
      </w:r>
      <w:r>
        <w:rPr>
          <w:rFonts w:ascii="Bodoni SvtyTwo ITC TT-Book" w:hAnsi="Bodoni SvtyTwo ITC TT-Book" w:hint="default"/>
          <w:sz w:val="24"/>
          <w:szCs w:val="24"/>
          <w:rtl w:val="0"/>
          <w:lang w:val="es-ES_tradnl"/>
        </w:rPr>
        <w:t>ó</w:t>
      </w:r>
      <w:r>
        <w:rPr>
          <w:rFonts w:ascii="Bodoni SvtyTwo ITC TT-Book" w:hAnsi="Bodoni SvtyTwo ITC TT-Book"/>
          <w:sz w:val="24"/>
          <w:szCs w:val="24"/>
          <w:rtl w:val="0"/>
          <w:lang w:val="es-ES_tradnl"/>
        </w:rPr>
        <w:t>n voluntaria env</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 al mundo el mensaje de que su pa</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s no est</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satisfecho con lo que est</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haciendo la OMS. Esto podr</w:t>
      </w:r>
      <w:r>
        <w:rPr>
          <w:rFonts w:ascii="Bodoni SvtyTwo ITC TT-Book" w:hAnsi="Bodoni SvtyTwo ITC TT-Book" w:hint="default"/>
          <w:sz w:val="24"/>
          <w:szCs w:val="24"/>
          <w:rtl w:val="0"/>
        </w:rPr>
        <w:t>í</w:t>
      </w:r>
      <w:r>
        <w:rPr>
          <w:rFonts w:ascii="Bodoni SvtyTwo ITC TT-Book" w:hAnsi="Bodoni SvtyTwo ITC TT-Book"/>
          <w:sz w:val="24"/>
          <w:szCs w:val="24"/>
          <w:rtl w:val="0"/>
          <w:lang w:val="es-ES_tradnl"/>
        </w:rPr>
        <w:t>a animar a otras naciones a dar el mismo paso, y ayudar</w:t>
      </w:r>
      <w:r>
        <w:rPr>
          <w:rFonts w:ascii="Bodoni SvtyTwo ITC TT-Book" w:hAnsi="Bodoni SvtyTwo ITC TT-Book" w:hint="default"/>
          <w:sz w:val="24"/>
          <w:szCs w:val="24"/>
          <w:rtl w:val="0"/>
        </w:rPr>
        <w:t xml:space="preserve">á </w:t>
      </w:r>
      <w:r>
        <w:rPr>
          <w:rFonts w:ascii="Bodoni SvtyTwo ITC TT-Book" w:hAnsi="Bodoni SvtyTwo ITC TT-Book"/>
          <w:sz w:val="24"/>
          <w:szCs w:val="24"/>
          <w:rtl w:val="0"/>
          <w:lang w:val="es-ES_tradnl"/>
        </w:rPr>
        <w:t>a arrojar luz sobre el Tratado propuesto y sus enmiendas.</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p>
    <w:p>
      <w:pPr>
        <w:pStyle w:val="Corpo"/>
        <w:jc w:val="both"/>
      </w:pPr>
      <w:r>
        <w:rPr>
          <w:rFonts w:ascii="Bodoni SvtyTwo ITC TT-Book" w:hAnsi="Bodoni SvtyTwo ITC TT-Book"/>
          <w:sz w:val="24"/>
          <w:szCs w:val="24"/>
          <w:rtl w:val="0"/>
          <w:lang w:val="it-IT"/>
        </w:rPr>
        <w:t xml:space="preserve">Dra. </w:t>
      </w:r>
      <w:r>
        <w:rPr>
          <w:rFonts w:ascii="Bodoni SvtyTwo ITC TT-Book" w:hAnsi="Bodoni SvtyTwo ITC TT-Book"/>
          <w:sz w:val="24"/>
          <w:szCs w:val="24"/>
          <w:rtl w:val="0"/>
          <w:lang w:val="en-US"/>
        </w:rPr>
        <w:t xml:space="preserve">Meryl Nass, </w:t>
      </w:r>
      <w:r>
        <w:rPr>
          <w:rFonts w:ascii="Bodoni SvtyTwo ITC TT-Book" w:hAnsi="Bodoni SvtyTwo ITC TT-Book"/>
          <w:sz w:val="24"/>
          <w:szCs w:val="24"/>
          <w:rtl w:val="0"/>
          <w:lang w:val="it-IT"/>
        </w:rPr>
        <w:t xml:space="preserve"> </w:t>
      </w:r>
      <w:r>
        <w:rPr>
          <w:rFonts w:ascii="Bodoni SvtyTwo ITC TT-Book" w:hAnsi="Bodoni SvtyTwo ITC TT-Book"/>
          <w:sz w:val="24"/>
          <w:szCs w:val="24"/>
          <w:rtl w:val="0"/>
          <w:lang w:val="es-ES_tradnl"/>
        </w:rPr>
        <w:t>20 de octubre de 2023</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doni SvtyTwo ITC TT-Bold">
    <w:charset w:val="00"/>
    <w:family w:val="roman"/>
    <w:pitch w:val="default"/>
  </w:font>
  <w:font w:name="Bodoni SvtyTwo ITC TT-Book">
    <w:charset w:val="00"/>
    <w:family w:val="roman"/>
    <w:pitch w:val="default"/>
  </w:font>
  <w:font w:name="Bodoni SvtyTwo ITC TT-BookIt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